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68A">
      <w:pPr>
        <w:ind w:left="0" w:leftChars="0" w:firstLine="0" w:firstLineChars="0"/>
        <w:rPr>
          <w:rFonts w:hint="eastAsia" w:eastAsia="仿宋_GB2312"/>
          <w:sz w:val="32"/>
          <w:lang w:val="en-US" w:eastAsia="zh-CN"/>
        </w:rPr>
      </w:pPr>
    </w:p>
    <w:p w14:paraId="77C4D31A">
      <w:pPr>
        <w:bidi w:val="0"/>
        <w:rPr>
          <w:rFonts w:hint="eastAsia" w:ascii="仿宋_GB2312" w:hAnsi="仿宋_GB2312" w:eastAsia="仿宋_GB2312" w:cs="Times New Roman"/>
          <w:kern w:val="2"/>
          <w:sz w:val="32"/>
          <w:szCs w:val="32"/>
          <w:lang w:val="en-US" w:eastAsia="zh-CN" w:bidi="ar-SA"/>
        </w:rPr>
      </w:pPr>
    </w:p>
    <w:p w14:paraId="11392D1C">
      <w:pPr>
        <w:bidi w:val="0"/>
        <w:rPr>
          <w:rFonts w:hint="eastAsia"/>
          <w:lang w:val="en-US" w:eastAsia="zh-CN"/>
        </w:rPr>
      </w:pPr>
    </w:p>
    <w:p w14:paraId="38EBD69D">
      <w:pPr>
        <w:bidi w:val="0"/>
        <w:rPr>
          <w:rFonts w:hint="eastAsia"/>
          <w:lang w:val="en-US" w:eastAsia="zh-CN"/>
        </w:rPr>
      </w:pPr>
    </w:p>
    <w:p w14:paraId="44954A7F">
      <w:pPr>
        <w:bidi w:val="0"/>
        <w:rPr>
          <w:rFonts w:hint="eastAsia"/>
          <w:lang w:val="en-US" w:eastAsia="zh-CN"/>
        </w:rPr>
      </w:pPr>
    </w:p>
    <w:p w14:paraId="1DC0DB27">
      <w:pPr>
        <w:bidi w:val="0"/>
        <w:rPr>
          <w:rFonts w:hint="eastAsia"/>
          <w:lang w:val="en-US" w:eastAsia="zh-CN"/>
        </w:rPr>
      </w:pPr>
    </w:p>
    <w:p w14:paraId="1CEBAE0C">
      <w:pPr>
        <w:bidi w:val="0"/>
        <w:rPr>
          <w:rFonts w:hint="eastAsia"/>
          <w:lang w:val="en-US" w:eastAsia="zh-CN"/>
        </w:rPr>
      </w:pPr>
    </w:p>
    <w:p w14:paraId="5F4EEF7E">
      <w:pPr>
        <w:bidi w:val="0"/>
        <w:ind w:left="0" w:leftChars="0" w:firstLine="0" w:firstLineChars="0"/>
        <w:jc w:val="center"/>
        <w:rPr>
          <w:rFonts w:hint="eastAsia" w:ascii="仿宋_GB2312" w:hAnsi="仿宋_GB2312" w:eastAsia="仿宋_GB2312" w:cs="仿宋_GB2312"/>
          <w:spacing w:val="-20"/>
          <w:sz w:val="32"/>
          <w:szCs w:val="32"/>
        </w:rPr>
      </w:pPr>
    </w:p>
    <w:p w14:paraId="410B65C5">
      <w:pPr>
        <w:bidi w:val="0"/>
        <w:ind w:left="0" w:leftChars="0" w:firstLine="0" w:firstLineChars="0"/>
        <w:jc w:val="center"/>
        <w:rPr>
          <w:rFonts w:hint="eastAsia"/>
          <w:lang w:val="en-US" w:eastAsia="zh-CN"/>
        </w:rPr>
      </w:pPr>
      <w:r>
        <w:rPr>
          <w:rFonts w:hint="eastAsia" w:ascii="仿宋_GB2312" w:hAnsi="仿宋_GB2312" w:eastAsia="仿宋_GB2312" w:cs="仿宋_GB2312"/>
          <w:spacing w:val="-20"/>
          <w:sz w:val="32"/>
          <w:szCs w:val="32"/>
        </w:rPr>
        <w:t>吉市（龙）环建（表）字〔20</w:t>
      </w:r>
      <w:r>
        <w:rPr>
          <w:rFonts w:hint="eastAsia" w:cs="仿宋_GB2312"/>
          <w:spacing w:val="-20"/>
          <w:sz w:val="32"/>
          <w:szCs w:val="32"/>
          <w:lang w:val="en-US" w:eastAsia="zh-CN"/>
        </w:rPr>
        <w:t>25</w:t>
      </w:r>
      <w:r>
        <w:rPr>
          <w:rFonts w:hint="eastAsia" w:ascii="仿宋_GB2312" w:hAnsi="仿宋_GB2312" w:eastAsia="仿宋_GB2312" w:cs="仿宋_GB2312"/>
          <w:spacing w:val="-20"/>
          <w:sz w:val="32"/>
          <w:szCs w:val="32"/>
        </w:rPr>
        <w:t>〕</w:t>
      </w:r>
      <w:r>
        <w:rPr>
          <w:rFonts w:hint="eastAsia" w:cs="仿宋_GB2312"/>
          <w:spacing w:val="-20"/>
          <w:sz w:val="32"/>
          <w:szCs w:val="32"/>
          <w:lang w:val="en-US" w:eastAsia="zh-CN"/>
        </w:rPr>
        <w:t>8</w:t>
      </w:r>
      <w:r>
        <w:rPr>
          <w:rFonts w:hint="eastAsia" w:ascii="仿宋_GB2312" w:hAnsi="仿宋_GB2312" w:eastAsia="仿宋_GB2312" w:cs="仿宋_GB2312"/>
          <w:spacing w:val="-20"/>
          <w:sz w:val="32"/>
          <w:szCs w:val="32"/>
        </w:rPr>
        <w:t>号</w:t>
      </w:r>
    </w:p>
    <w:p w14:paraId="517D7477">
      <w:pPr>
        <w:bidi w:val="0"/>
        <w:ind w:left="0" w:leftChars="0" w:firstLine="0" w:firstLineChars="0"/>
        <w:jc w:val="both"/>
        <w:rPr>
          <w:rFonts w:hint="eastAsia" w:ascii="仿宋_GB2312" w:hAnsi="仿宋_GB2312" w:eastAsia="仿宋_GB2312" w:cs="仿宋_GB2312"/>
          <w:spacing w:val="-20"/>
          <w:sz w:val="32"/>
          <w:szCs w:val="32"/>
        </w:rPr>
      </w:pPr>
    </w:p>
    <w:p w14:paraId="05327BA9">
      <w:pPr>
        <w:pStyle w:val="5"/>
        <w:ind w:left="0" w:leftChars="0" w:firstLine="0" w:firstLineChars="0"/>
        <w:jc w:val="center"/>
        <w:rPr>
          <w:rFonts w:hint="eastAsia" w:ascii="方正小标宋简体" w:hAnsi="方正小标宋简体" w:eastAsia="方正小标宋简体" w:cs="方正小标宋简体"/>
          <w:b w:val="0"/>
          <w:bCs w:val="0"/>
          <w:w w:val="90"/>
          <w:kern w:val="2"/>
          <w:sz w:val="44"/>
          <w:szCs w:val="44"/>
          <w:lang w:val="en-US" w:eastAsia="zh-CN" w:bidi="ar-SA"/>
        </w:rPr>
      </w:pPr>
      <w:r>
        <w:rPr>
          <w:rFonts w:hint="eastAsia" w:ascii="方正小标宋简体" w:hAnsi="方正小标宋简体" w:eastAsia="方正小标宋简体" w:cs="方正小标宋简体"/>
          <w:b w:val="0"/>
          <w:bCs w:val="0"/>
          <w:w w:val="90"/>
          <w:kern w:val="2"/>
          <w:sz w:val="44"/>
          <w:szCs w:val="44"/>
          <w:lang w:val="en-US" w:eastAsia="zh-CN" w:bidi="ar-SA"/>
        </w:rPr>
        <w:t>关于吉林德信力合化学产品有限公司660吨/年</w:t>
      </w:r>
    </w:p>
    <w:p w14:paraId="44FAB312">
      <w:pPr>
        <w:pStyle w:val="5"/>
        <w:keepNext w:val="0"/>
        <w:keepLines w:val="0"/>
        <w:pageBreakBefore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val="0"/>
          <w:w w:val="90"/>
          <w:kern w:val="2"/>
          <w:sz w:val="44"/>
          <w:szCs w:val="44"/>
          <w:lang w:val="en-US" w:eastAsia="zh-CN" w:bidi="ar-SA"/>
        </w:rPr>
        <w:t>四氯乙烯项目</w:t>
      </w:r>
      <w:r>
        <w:rPr>
          <w:rFonts w:hint="eastAsia" w:ascii="方正小标宋简体" w:hAnsi="方正小标宋简体" w:eastAsia="方正小标宋简体" w:cs="方正小标宋简体"/>
          <w:b w:val="0"/>
          <w:bCs w:val="0"/>
          <w:w w:val="90"/>
          <w:sz w:val="44"/>
          <w:szCs w:val="44"/>
        </w:rPr>
        <w:t>环境影响报告表的批复</w:t>
      </w:r>
    </w:p>
    <w:p w14:paraId="6D12A0B2">
      <w:pPr>
        <w:keepNext w:val="0"/>
        <w:keepLines w:val="0"/>
        <w:pageBreakBefore w:val="0"/>
        <w:widowControl/>
        <w:suppressLineNumbers w:val="0"/>
        <w:kinsoku/>
        <w:wordWrap/>
        <w:overflowPunct/>
        <w:topLinePunct w:val="0"/>
        <w:autoSpaceDE/>
        <w:autoSpaceDN/>
        <w:bidi w:val="0"/>
        <w:adjustRightInd/>
        <w:snapToGrid/>
        <w:spacing w:line="720" w:lineRule="exact"/>
        <w:ind w:left="0" w:leftChars="0" w:firstLine="0" w:firstLine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吉林德信力合化学产品有限公司： </w:t>
      </w:r>
    </w:p>
    <w:p w14:paraId="4EF8D77C">
      <w:pPr>
        <w:keepNext w:val="0"/>
        <w:keepLines w:val="0"/>
        <w:pageBreakBefore w:val="0"/>
        <w:widowControl/>
        <w:numPr>
          <w:ilvl w:val="0"/>
          <w:numId w:val="0"/>
        </w:numPr>
        <w:suppressLineNumbers w:val="0"/>
        <w:kinsoku/>
        <w:wordWrap/>
        <w:overflowPunct/>
        <w:topLinePunct w:val="0"/>
        <w:bidi w:val="0"/>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你单位《关于对〈吉林德信力合化学产品有限公司660吨/年四氯乙烯项目环境影响报告表〉审查的申请》和委托吉林市岚璟环保科技有限公司编制的《吉林德信力合化学产品有限公司660吨/年四氯乙烯项目环境影响报告表》（报批版）收悉。经研究，现批复如下：　 </w:t>
      </w:r>
    </w:p>
    <w:p w14:paraId="4399D072">
      <w:pPr>
        <w:keepNext w:val="0"/>
        <w:keepLines w:val="0"/>
        <w:pageBreakBefore w:val="0"/>
        <w:widowControl/>
        <w:suppressLineNumbers w:val="0"/>
        <w:kinsoku/>
        <w:wordWrap/>
        <w:overflowPunct/>
        <w:topLinePunct w:val="0"/>
        <w:bidi w:val="0"/>
        <w:snapToGrid/>
        <w:spacing w:line="48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一</w:t>
      </w:r>
      <w:r>
        <w:rPr>
          <w:rFonts w:hint="eastAsia" w:cs="仿宋_GB2312"/>
          <w:color w:val="auto"/>
          <w:kern w:val="2"/>
          <w:sz w:val="32"/>
          <w:szCs w:val="32"/>
          <w:lang w:val="en-US" w:eastAsia="zh-CN" w:bidi="ar-SA"/>
        </w:rPr>
        <w:t>、</w:t>
      </w:r>
      <w:r>
        <w:rPr>
          <w:rFonts w:hint="eastAsia" w:ascii="仿宋_GB2312" w:hAnsi="仿宋_GB2312" w:eastAsia="仿宋_GB2312" w:cs="仿宋_GB2312"/>
          <w:sz w:val="32"/>
          <w:szCs w:val="32"/>
          <w:lang w:val="en-US" w:eastAsia="zh-CN"/>
        </w:rPr>
        <w:t>吉林德信力合化学产品有限公司</w:t>
      </w:r>
      <w:r>
        <w:rPr>
          <w:rFonts w:hint="eastAsia" w:ascii="仿宋_GB2312" w:hAnsi="仿宋_GB2312" w:eastAsia="仿宋_GB2312" w:cs="仿宋_GB2312"/>
          <w:color w:val="auto"/>
          <w:kern w:val="2"/>
          <w:sz w:val="32"/>
          <w:szCs w:val="32"/>
          <w:lang w:val="en-US" w:eastAsia="zh-CN" w:bidi="ar-SA"/>
        </w:rPr>
        <w:t>位于</w:t>
      </w:r>
      <w:r>
        <w:rPr>
          <w:rFonts w:hint="eastAsia"/>
          <w:color w:val="000000"/>
          <w:szCs w:val="21"/>
        </w:rPr>
        <w:t>吉林市龙潭区劳动街866号碳纤维产业孵化园院内4号</w:t>
      </w:r>
      <w:r>
        <w:rPr>
          <w:rFonts w:hint="eastAsia"/>
          <w:color w:val="000000"/>
          <w:szCs w:val="21"/>
          <w:lang w:val="en-US" w:eastAsia="zh-CN"/>
        </w:rPr>
        <w:t>空置厂房</w:t>
      </w:r>
      <w:r>
        <w:rPr>
          <w:rFonts w:hint="eastAsia" w:ascii="仿宋_GB2312" w:hAnsi="仿宋_GB2312" w:eastAsia="仿宋_GB2312" w:cs="仿宋_GB2312"/>
          <w:color w:val="auto"/>
          <w:kern w:val="2"/>
          <w:sz w:val="32"/>
          <w:szCs w:val="32"/>
          <w:lang w:val="en-US" w:eastAsia="zh-CN" w:bidi="ar-SA"/>
        </w:rPr>
        <w:t>，本项目</w:t>
      </w:r>
      <w:r>
        <w:rPr>
          <w:rFonts w:hint="eastAsia" w:cs="仿宋_GB2312"/>
          <w:color w:val="auto"/>
          <w:kern w:val="2"/>
          <w:sz w:val="32"/>
          <w:szCs w:val="32"/>
          <w:lang w:val="en-US" w:eastAsia="zh-CN" w:bidi="ar-SA"/>
        </w:rPr>
        <w:t>建成后年生产</w:t>
      </w:r>
      <w:r>
        <w:rPr>
          <w:rFonts w:hint="eastAsia" w:ascii="仿宋_GB2312" w:hAnsi="仿宋_GB2312" w:eastAsia="仿宋_GB2312" w:cs="仿宋_GB2312"/>
          <w:color w:val="auto"/>
          <w:kern w:val="2"/>
          <w:sz w:val="32"/>
          <w:szCs w:val="32"/>
          <w:lang w:val="en-US" w:eastAsia="zh-CN" w:bidi="ar-SA"/>
        </w:rPr>
        <w:t>660t四氯乙烯。主体工程：四氯乙烯生产车间，占地面积2520m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color w:val="auto"/>
          <w:kern w:val="2"/>
          <w:sz w:val="32"/>
          <w:szCs w:val="32"/>
          <w:lang w:val="en-US" w:eastAsia="zh-CN" w:bidi="ar-SA"/>
        </w:rPr>
        <w:t>，共</w:t>
      </w:r>
      <w:r>
        <w:rPr>
          <w:rFonts w:hint="eastAsia"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层，内设</w:t>
      </w:r>
      <w:r>
        <w:rPr>
          <w:rFonts w:hint="eastAsia" w:cs="仿宋_GB2312"/>
          <w:color w:val="auto"/>
          <w:kern w:val="2"/>
          <w:sz w:val="32"/>
          <w:szCs w:val="32"/>
          <w:lang w:val="en-US" w:eastAsia="zh-CN" w:bidi="ar-SA"/>
        </w:rPr>
        <w:t>一条年产</w:t>
      </w:r>
      <w:r>
        <w:rPr>
          <w:rFonts w:hint="eastAsia" w:ascii="仿宋_GB2312" w:hAnsi="仿宋_GB2312" w:eastAsia="仿宋_GB2312" w:cs="仿宋_GB2312"/>
          <w:color w:val="auto"/>
          <w:kern w:val="2"/>
          <w:sz w:val="32"/>
          <w:szCs w:val="32"/>
          <w:lang w:val="en-US" w:eastAsia="zh-CN" w:bidi="ar-SA"/>
        </w:rPr>
        <w:t>660t四氯乙烯生产线；储运工程</w:t>
      </w:r>
      <w:r>
        <w:rPr>
          <w:rFonts w:hint="eastAsia"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原料库</w:t>
      </w:r>
      <w:r>
        <w:rPr>
          <w:rFonts w:hint="eastAsia"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占地面积 57m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cs="仿宋_GB2312"/>
          <w:color w:val="auto"/>
          <w:kern w:val="2"/>
          <w:sz w:val="32"/>
          <w:szCs w:val="32"/>
          <w:vertAlign w:val="baseline"/>
          <w:lang w:val="en-US" w:eastAsia="zh-CN" w:bidi="ar-SA"/>
        </w:rPr>
        <w:t>，</w:t>
      </w:r>
      <w:r>
        <w:rPr>
          <w:rFonts w:hint="eastAsia" w:ascii="仿宋_GB2312" w:hAnsi="仿宋_GB2312" w:eastAsia="仿宋_GB2312" w:cs="仿宋_GB2312"/>
          <w:color w:val="auto"/>
          <w:kern w:val="2"/>
          <w:sz w:val="32"/>
          <w:szCs w:val="32"/>
          <w:lang w:val="en-US" w:eastAsia="zh-CN" w:bidi="ar-SA"/>
        </w:rPr>
        <w:t>用于储存硅胶、硅酸镁、无水硫酸钠</w:t>
      </w:r>
      <w:r>
        <w:rPr>
          <w:rFonts w:hint="eastAsia"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原料罐区</w:t>
      </w:r>
      <w:r>
        <w:rPr>
          <w:rFonts w:hint="eastAsia"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占地面积120m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color w:val="auto"/>
          <w:kern w:val="2"/>
          <w:sz w:val="32"/>
          <w:szCs w:val="32"/>
          <w:lang w:val="en-US" w:eastAsia="zh-CN" w:bidi="ar-SA"/>
        </w:rPr>
        <w:t>，设6个</w:t>
      </w:r>
      <w:r>
        <w:rPr>
          <w:rFonts w:hint="eastAsia" w:ascii="仿宋_GB2312" w:hAnsi="仿宋_GB2312" w:eastAsia="仿宋_GB2312" w:cs="仿宋_GB2312"/>
          <w:color w:val="auto"/>
          <w:kern w:val="2"/>
          <w:sz w:val="32"/>
          <w:szCs w:val="32"/>
          <w:vertAlign w:val="baseline"/>
          <w:lang w:val="en-US" w:eastAsia="zh-CN" w:bidi="ar-SA"/>
        </w:rPr>
        <w:t>立式</w:t>
      </w:r>
      <w:r>
        <w:rPr>
          <w:rFonts w:hint="eastAsia" w:ascii="仿宋_GB2312" w:hAnsi="仿宋_GB2312" w:eastAsia="仿宋_GB2312" w:cs="仿宋_GB2312"/>
          <w:color w:val="auto"/>
          <w:kern w:val="2"/>
          <w:sz w:val="32"/>
          <w:szCs w:val="32"/>
          <w:lang w:val="en-US" w:eastAsia="zh-CN" w:bidi="ar-SA"/>
        </w:rPr>
        <w:t>固定顶储罐</w:t>
      </w:r>
      <w:r>
        <w:rPr>
          <w:rFonts w:hint="eastAsia" w:cs="仿宋_GB2312"/>
          <w:color w:val="auto"/>
          <w:kern w:val="2"/>
          <w:sz w:val="32"/>
          <w:szCs w:val="32"/>
          <w:lang w:val="en-US" w:eastAsia="zh-CN" w:bidi="ar-SA"/>
        </w:rPr>
        <w:t>，单</w:t>
      </w:r>
      <w:r>
        <w:rPr>
          <w:rFonts w:hint="eastAsia" w:ascii="仿宋_GB2312" w:hAnsi="仿宋_GB2312" w:eastAsia="仿宋_GB2312" w:cs="仿宋_GB2312"/>
          <w:color w:val="auto"/>
          <w:kern w:val="2"/>
          <w:sz w:val="32"/>
          <w:szCs w:val="32"/>
          <w:lang w:val="en-US" w:eastAsia="zh-CN" w:bidi="ar-SA"/>
        </w:rPr>
        <w:t>个储罐</w:t>
      </w:r>
      <w:r>
        <w:rPr>
          <w:rFonts w:hint="eastAsia" w:cs="仿宋_GB2312"/>
          <w:color w:val="auto"/>
          <w:kern w:val="2"/>
          <w:sz w:val="32"/>
          <w:szCs w:val="32"/>
          <w:lang w:val="en-US" w:eastAsia="zh-CN" w:bidi="ar-SA"/>
        </w:rPr>
        <w:t>容积为4.5</w:t>
      </w:r>
      <w:r>
        <w:rPr>
          <w:rFonts w:hint="eastAsia" w:ascii="仿宋_GB2312" w:hAnsi="仿宋_GB2312" w:eastAsia="仿宋_GB2312" w:cs="仿宋_GB2312"/>
          <w:color w:val="auto"/>
          <w:kern w:val="2"/>
          <w:sz w:val="32"/>
          <w:szCs w:val="32"/>
          <w:lang w:val="en-US" w:eastAsia="zh-CN" w:bidi="ar-SA"/>
        </w:rPr>
        <w:t>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cs="仿宋_GB2312"/>
          <w:color w:val="auto"/>
          <w:kern w:val="2"/>
          <w:sz w:val="32"/>
          <w:szCs w:val="32"/>
          <w:vertAlign w:val="baseline"/>
          <w:lang w:val="en-US" w:eastAsia="zh-CN" w:bidi="ar-SA"/>
        </w:rPr>
        <w:t>，</w:t>
      </w:r>
      <w:r>
        <w:rPr>
          <w:rFonts w:hint="eastAsia" w:cs="仿宋_GB2312"/>
          <w:color w:val="auto"/>
          <w:kern w:val="2"/>
          <w:sz w:val="32"/>
          <w:szCs w:val="32"/>
          <w:lang w:val="en-US" w:eastAsia="zh-CN" w:bidi="ar-SA"/>
        </w:rPr>
        <w:t>设</w:t>
      </w:r>
      <w:r>
        <w:rPr>
          <w:rFonts w:hint="eastAsia" w:ascii="仿宋_GB2312" w:hAnsi="仿宋_GB2312" w:eastAsia="仿宋_GB2312" w:cs="仿宋_GB2312"/>
          <w:color w:val="auto"/>
          <w:kern w:val="2"/>
          <w:sz w:val="32"/>
          <w:szCs w:val="32"/>
          <w:lang w:val="en-US" w:eastAsia="zh-CN" w:bidi="ar-SA"/>
        </w:rPr>
        <w:t>0.15m高围堰，储罐区整体设0.3m高围堰；成品库，位于2层，占地面积240m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color w:val="auto"/>
          <w:kern w:val="2"/>
          <w:sz w:val="32"/>
          <w:szCs w:val="32"/>
          <w:lang w:val="en-US" w:eastAsia="zh-CN" w:bidi="ar-SA"/>
        </w:rPr>
        <w:t>，用于四氯乙烯产品存放；危险废物</w:t>
      </w:r>
      <w:r>
        <w:rPr>
          <w:rFonts w:hint="eastAsia" w:cs="仿宋_GB2312"/>
          <w:color w:val="auto"/>
          <w:kern w:val="2"/>
          <w:sz w:val="32"/>
          <w:szCs w:val="32"/>
          <w:lang w:val="en-US" w:eastAsia="zh-CN" w:bidi="ar-SA"/>
        </w:rPr>
        <w:t>贮存库，</w:t>
      </w:r>
      <w:r>
        <w:rPr>
          <w:rFonts w:hint="eastAsia" w:ascii="仿宋_GB2312" w:hAnsi="仿宋_GB2312" w:eastAsia="仿宋_GB2312" w:cs="仿宋_GB2312"/>
          <w:color w:val="auto"/>
          <w:kern w:val="2"/>
          <w:sz w:val="32"/>
          <w:szCs w:val="32"/>
          <w:lang w:val="en-US" w:eastAsia="zh-CN" w:bidi="ar-SA"/>
        </w:rPr>
        <w:t>位于一层，占地面积57m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color w:val="auto"/>
          <w:kern w:val="2"/>
          <w:sz w:val="32"/>
          <w:szCs w:val="32"/>
          <w:lang w:val="en-US" w:eastAsia="zh-CN" w:bidi="ar-SA"/>
        </w:rPr>
        <w:t>，设</w:t>
      </w:r>
      <w:r>
        <w:rPr>
          <w:rFonts w:hint="eastAsia" w:cs="仿宋_GB2312"/>
          <w:color w:val="auto"/>
          <w:kern w:val="2"/>
          <w:sz w:val="32"/>
          <w:szCs w:val="32"/>
          <w:lang w:val="en-US" w:eastAsia="zh-CN" w:bidi="ar-SA"/>
        </w:rPr>
        <w:t>0.</w:t>
      </w:r>
      <w:r>
        <w:rPr>
          <w:rFonts w:hint="eastAsia" w:ascii="仿宋_GB2312" w:hAnsi="仿宋_GB2312" w:eastAsia="仿宋_GB2312" w:cs="仿宋_GB2312"/>
          <w:color w:val="auto"/>
          <w:kern w:val="2"/>
          <w:sz w:val="32"/>
          <w:szCs w:val="32"/>
          <w:lang w:val="en-US" w:eastAsia="zh-CN" w:bidi="ar-SA"/>
        </w:rPr>
        <w:t>15</w:t>
      </w:r>
      <w:r>
        <w:rPr>
          <w:rFonts w:hint="eastAsia" w:cs="仿宋_GB2312"/>
          <w:color w:val="auto"/>
          <w:kern w:val="2"/>
          <w:sz w:val="32"/>
          <w:szCs w:val="32"/>
          <w:lang w:val="en-US" w:eastAsia="zh-CN" w:bidi="ar-SA"/>
        </w:rPr>
        <w:t>m</w:t>
      </w:r>
      <w:r>
        <w:rPr>
          <w:rFonts w:hint="eastAsia" w:ascii="仿宋_GB2312" w:hAnsi="仿宋_GB2312" w:eastAsia="仿宋_GB2312" w:cs="仿宋_GB2312"/>
          <w:color w:val="auto"/>
          <w:kern w:val="2"/>
          <w:sz w:val="32"/>
          <w:szCs w:val="32"/>
          <w:lang w:val="en-US" w:eastAsia="zh-CN" w:bidi="ar-SA"/>
        </w:rPr>
        <w:t>高</w:t>
      </w:r>
      <w:r>
        <w:rPr>
          <w:rFonts w:hint="eastAsia" w:cs="仿宋_GB2312"/>
          <w:color w:val="auto"/>
          <w:kern w:val="2"/>
          <w:sz w:val="32"/>
          <w:szCs w:val="32"/>
          <w:lang w:val="en-US" w:eastAsia="zh-CN" w:bidi="ar-SA"/>
        </w:rPr>
        <w:t>裙角</w:t>
      </w:r>
      <w:r>
        <w:rPr>
          <w:rFonts w:hint="eastAsia" w:ascii="仿宋_GB2312" w:hAnsi="仿宋_GB2312" w:eastAsia="仿宋_GB2312" w:cs="仿宋_GB2312"/>
          <w:color w:val="auto"/>
          <w:kern w:val="2"/>
          <w:sz w:val="32"/>
          <w:szCs w:val="32"/>
          <w:lang w:val="en-US" w:eastAsia="zh-CN" w:bidi="ar-SA"/>
        </w:rPr>
        <w:t>。辅助工程：化验室，位于2层，建筑面积103m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color w:val="auto"/>
          <w:kern w:val="2"/>
          <w:sz w:val="32"/>
          <w:szCs w:val="32"/>
          <w:lang w:val="en-US" w:eastAsia="zh-CN" w:bidi="ar-SA"/>
        </w:rPr>
        <w:t>；办公室，建筑面积575m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highlight w:val="none"/>
          <w:vertAlign w:val="baseline"/>
          <w:lang w:val="en-US" w:eastAsia="zh-CN" w:bidi="ar-SA"/>
        </w:rPr>
        <w:t>本项目总占地面积为2520m</w:t>
      </w:r>
      <w:r>
        <w:rPr>
          <w:rFonts w:hint="eastAsia" w:ascii="仿宋_GB2312" w:hAnsi="仿宋_GB2312" w:eastAsia="仿宋_GB2312" w:cs="仿宋_GB2312"/>
          <w:color w:val="auto"/>
          <w:kern w:val="2"/>
          <w:sz w:val="32"/>
          <w:szCs w:val="32"/>
          <w:highlight w:val="none"/>
          <w:vertAlign w:val="superscript"/>
          <w:lang w:val="en-US" w:eastAsia="zh-CN" w:bidi="ar-SA"/>
        </w:rPr>
        <w:t>2</w:t>
      </w:r>
      <w:r>
        <w:rPr>
          <w:rFonts w:hint="eastAsia" w:ascii="仿宋_GB2312" w:hAnsi="仿宋_GB2312" w:eastAsia="仿宋_GB2312" w:cs="仿宋_GB2312"/>
          <w:color w:val="auto"/>
          <w:kern w:val="2"/>
          <w:sz w:val="32"/>
          <w:szCs w:val="32"/>
          <w:highlight w:val="none"/>
          <w:vertAlign w:val="baseline"/>
          <w:lang w:val="en-US" w:eastAsia="zh-CN" w:bidi="ar-SA"/>
        </w:rPr>
        <w:t>，</w:t>
      </w:r>
      <w:r>
        <w:rPr>
          <w:rFonts w:hint="eastAsia" w:ascii="仿宋_GB2312" w:hAnsi="仿宋_GB2312" w:eastAsia="仿宋_GB2312" w:cs="仿宋_GB2312"/>
          <w:color w:val="auto"/>
          <w:kern w:val="2"/>
          <w:sz w:val="32"/>
          <w:szCs w:val="32"/>
          <w:lang w:val="en-US" w:eastAsia="zh-CN" w:bidi="ar-SA"/>
        </w:rPr>
        <w:t>新增劳动定员9人，8小时工作制</w:t>
      </w:r>
      <w:r>
        <w:rPr>
          <w:rFonts w:hint="eastAsia" w:ascii="仿宋_GB2312" w:hAnsi="仿宋_GB2312" w:eastAsia="仿宋_GB2312" w:cs="仿宋_GB2312"/>
          <w:sz w:val="32"/>
          <w:szCs w:val="32"/>
          <w:lang w:val="en-US" w:eastAsia="zh-CN"/>
        </w:rPr>
        <w:t>，年工作100天</w:t>
      </w:r>
      <w:r>
        <w:rPr>
          <w:rFonts w:hint="eastAsia" w:ascii="仿宋_GB2312" w:hAnsi="仿宋_GB2312" w:eastAsia="仿宋_GB2312" w:cs="仿宋_GB2312"/>
          <w:color w:val="auto"/>
          <w:kern w:val="2"/>
          <w:sz w:val="32"/>
          <w:szCs w:val="32"/>
          <w:lang w:val="en-US" w:eastAsia="zh-CN" w:bidi="ar-SA"/>
        </w:rPr>
        <w:t>。生产用热采用电加热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生活采暖采用集中供热</w:t>
      </w:r>
      <w:r>
        <w:rPr>
          <w:rFonts w:hint="eastAsia" w:ascii="仿宋_GB2312" w:hAnsi="仿宋_GB2312" w:eastAsia="仿宋_GB2312" w:cs="仿宋_GB2312"/>
          <w:color w:val="auto"/>
          <w:kern w:val="2"/>
          <w:sz w:val="32"/>
          <w:szCs w:val="32"/>
          <w:lang w:val="en-US" w:eastAsia="zh-CN" w:bidi="ar-SA"/>
        </w:rPr>
        <w:t>。项目总投资1500万元，其中环保投资</w:t>
      </w:r>
      <w:r>
        <w:rPr>
          <w:rFonts w:hint="eastAsia" w:cs="仿宋_GB2312"/>
          <w:color w:val="auto"/>
          <w:kern w:val="2"/>
          <w:sz w:val="32"/>
          <w:szCs w:val="32"/>
          <w:lang w:val="en-US" w:eastAsia="zh-CN" w:bidi="ar-SA"/>
        </w:rPr>
        <w:t>54.2</w:t>
      </w:r>
      <w:r>
        <w:rPr>
          <w:rFonts w:hint="eastAsia" w:ascii="仿宋_GB2312" w:hAnsi="仿宋_GB2312" w:eastAsia="仿宋_GB2312" w:cs="仿宋_GB2312"/>
          <w:color w:val="auto"/>
          <w:kern w:val="2"/>
          <w:sz w:val="32"/>
          <w:szCs w:val="32"/>
          <w:lang w:val="en-US" w:eastAsia="zh-CN" w:bidi="ar-SA"/>
        </w:rPr>
        <w:t>万元。</w:t>
      </w:r>
      <w:r>
        <w:rPr>
          <w:rFonts w:hint="eastAsia" w:ascii="仿宋_GB2312" w:hAnsi="仿宋_GB2312" w:eastAsia="仿宋_GB2312" w:cs="仿宋_GB2312"/>
          <w:color w:val="auto"/>
          <w:sz w:val="32"/>
          <w:szCs w:val="32"/>
          <w:lang w:val="en-US" w:eastAsia="zh-CN"/>
        </w:rPr>
        <w:t>根</w:t>
      </w:r>
      <w:r>
        <w:rPr>
          <w:rFonts w:hint="eastAsia" w:ascii="仿宋_GB2312" w:hAnsi="仿宋_GB2312" w:eastAsia="仿宋_GB2312" w:cs="仿宋_GB2312"/>
          <w:color w:val="auto"/>
          <w:sz w:val="32"/>
          <w:szCs w:val="32"/>
        </w:rPr>
        <w:t>据环境影响报告表评价结论和</w:t>
      </w:r>
      <w:r>
        <w:rPr>
          <w:rFonts w:hint="eastAsia" w:ascii="仿宋_GB2312" w:hAnsi="仿宋_GB2312" w:eastAsia="仿宋_GB2312" w:cs="仿宋_GB2312"/>
          <w:color w:val="auto"/>
          <w:sz w:val="32"/>
          <w:szCs w:val="32"/>
          <w:lang w:eastAsia="zh-CN"/>
        </w:rPr>
        <w:t>技术评估</w:t>
      </w:r>
      <w:r>
        <w:rPr>
          <w:rFonts w:hint="eastAsia" w:ascii="仿宋_GB2312" w:hAnsi="仿宋_GB2312" w:eastAsia="仿宋_GB2312" w:cs="仿宋_GB2312"/>
          <w:color w:val="auto"/>
          <w:sz w:val="32"/>
          <w:szCs w:val="32"/>
        </w:rPr>
        <w:t>意见，严格落实环境影响报告表提出的各项环境保护和环境风险防控措施。我局原则同意建设单位按照环评报告及下述要求进行项目建设。该项目环境影响报告表（报批版）可以作为环保设计及其建成后环境管理依据。</w:t>
      </w:r>
    </w:p>
    <w:p w14:paraId="5DBA5BA6">
      <w:pPr>
        <w:keepNext w:val="0"/>
        <w:keepLines w:val="0"/>
        <w:pageBreakBefore w:val="0"/>
        <w:widowControl/>
        <w:suppressLineNumbers w:val="0"/>
        <w:kinsoku/>
        <w:wordWrap/>
        <w:overflowPunct/>
        <w:topLinePunct w:val="0"/>
        <w:bidi w:val="0"/>
        <w:snapToGrid/>
        <w:spacing w:line="48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二、项目建设应重点做好以下工作：</w:t>
      </w:r>
    </w:p>
    <w:p w14:paraId="0BDB4F9E">
      <w:pPr>
        <w:pStyle w:val="24"/>
        <w:keepNext w:val="0"/>
        <w:keepLines w:val="0"/>
        <w:pageBreakBefore w:val="0"/>
        <w:tabs>
          <w:tab w:val="left" w:pos="1260"/>
        </w:tabs>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加强建设期环境管理。</w:t>
      </w:r>
      <w:r>
        <w:rPr>
          <w:rFonts w:hint="eastAsia" w:ascii="仿宋_GB2312" w:hAnsi="仿宋_GB2312" w:eastAsia="仿宋_GB2312" w:cs="仿宋_GB2312"/>
          <w:color w:val="auto"/>
          <w:kern w:val="2"/>
          <w:sz w:val="32"/>
          <w:szCs w:val="32"/>
          <w:lang w:val="en-US" w:eastAsia="zh-CN" w:bidi="ar-SA"/>
        </w:rPr>
        <w:t>生活污水排入市政管网，经</w:t>
      </w:r>
      <w:r>
        <w:rPr>
          <w:rFonts w:hint="eastAsia" w:ascii="仿宋_GB2312" w:hAnsi="仿宋_GB2312" w:cs="仿宋_GB2312"/>
          <w:color w:val="auto"/>
          <w:kern w:val="2"/>
          <w:sz w:val="32"/>
          <w:szCs w:val="32"/>
          <w:lang w:val="en-US" w:eastAsia="zh-CN" w:bidi="ar-SA"/>
        </w:rPr>
        <w:t>吉化</w:t>
      </w:r>
      <w:r>
        <w:rPr>
          <w:rFonts w:hint="eastAsia" w:ascii="仿宋_GB2312" w:hAnsi="仿宋_GB2312" w:eastAsia="仿宋_GB2312" w:cs="仿宋_GB2312"/>
          <w:color w:val="auto"/>
          <w:kern w:val="2"/>
          <w:sz w:val="32"/>
          <w:szCs w:val="32"/>
          <w:lang w:val="en-US" w:eastAsia="zh-CN" w:bidi="ar-SA"/>
        </w:rPr>
        <w:t>污水处理厂处理达标后排入松花江。</w:t>
      </w:r>
      <w:r>
        <w:rPr>
          <w:rFonts w:hint="eastAsia" w:ascii="仿宋_GB2312" w:hAnsi="仿宋_GB2312" w:eastAsia="仿宋_GB2312" w:cs="仿宋_GB2312"/>
          <w:color w:val="auto"/>
          <w:sz w:val="32"/>
          <w:szCs w:val="32"/>
          <w:lang w:val="en-US" w:eastAsia="zh-CN"/>
        </w:rPr>
        <w:t>施工场地洒水降尘，施工边界设临时围挡，对易产尘的建筑材料采取防尘覆盖措施，焊接过程关闭门窗进行；生活垃圾集中收集，由环卫部门清运。包装垃圾外卖给废品回收站。使用低噪声施工机械，控制施工期噪声符合《建筑施工场界环境噪声排放标准》（GB12523-2011）要求，将项目建设对外界环境影响降至最低。落实施工期的各项污染防治措施，防止发生环境污染和扰民事件。</w:t>
      </w:r>
    </w:p>
    <w:p w14:paraId="485BE9A2">
      <w:pPr>
        <w:pStyle w:val="24"/>
        <w:keepNext w:val="0"/>
        <w:keepLines w:val="0"/>
        <w:pageBreakBefore w:val="0"/>
        <w:tabs>
          <w:tab w:val="left" w:pos="1260"/>
        </w:tabs>
        <w:kinsoku/>
        <w:wordWrap/>
        <w:overflowPunct/>
        <w:topLinePunct w:val="0"/>
        <w:bidi w:val="0"/>
        <w:snapToGrid/>
        <w:spacing w:line="4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本项目生产废水</w:t>
      </w:r>
      <w:r>
        <w:rPr>
          <w:rFonts w:hint="eastAsia" w:ascii="仿宋_GB2312" w:hAnsi="仿宋_GB2312" w:cs="仿宋_GB2312"/>
          <w:color w:val="auto"/>
          <w:kern w:val="2"/>
          <w:sz w:val="32"/>
          <w:szCs w:val="32"/>
          <w:lang w:val="en-US" w:eastAsia="zh-CN" w:bidi="ar-SA"/>
        </w:rPr>
        <w:t>为真空泵排水，按照危险废物进行管理及处置，不外排；</w:t>
      </w:r>
      <w:r>
        <w:rPr>
          <w:rFonts w:hint="eastAsia" w:ascii="仿宋_GB2312" w:hAnsi="仿宋_GB2312" w:eastAsia="仿宋_GB2312" w:cs="仿宋_GB2312"/>
          <w:color w:val="auto"/>
          <w:kern w:val="2"/>
          <w:sz w:val="32"/>
          <w:szCs w:val="32"/>
          <w:lang w:val="en-US" w:eastAsia="zh-CN" w:bidi="ar-SA"/>
        </w:rPr>
        <w:t>生活污水排入市政管网，经吉化污水处理厂处理达标后排入松花江</w:t>
      </w:r>
      <w:r>
        <w:rPr>
          <w:rFonts w:hint="eastAsia" w:ascii="仿宋_GB2312" w:hAnsi="仿宋_GB2312" w:cs="仿宋_GB2312"/>
          <w:color w:val="auto"/>
          <w:kern w:val="2"/>
          <w:sz w:val="32"/>
          <w:szCs w:val="32"/>
          <w:lang w:val="en-US" w:eastAsia="zh-CN" w:bidi="ar-SA"/>
        </w:rPr>
        <w:t>。</w:t>
      </w:r>
    </w:p>
    <w:p w14:paraId="538700A1">
      <w:pPr>
        <w:pStyle w:val="14"/>
        <w:keepNext w:val="0"/>
        <w:keepLines w:val="0"/>
        <w:pageBreakBefore w:val="0"/>
        <w:kinsoku/>
        <w:wordWrap/>
        <w:overflowPunct/>
        <w:topLinePunct w:val="0"/>
        <w:bidi w:val="0"/>
        <w:snapToGrid/>
        <w:spacing w:line="48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本项目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运营期产生的废气主</w:t>
      </w: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要为储罐大小呼吸废气、投料废气、凝液罐放空废气、成品罐放空废气、灌装废气、真空系统及真空泵废水收集系统废气、危废贮存库废气、设备的动静密封点废气、投料未收集废气。本项目投料口及灌装线上方设集气罩。储罐大小呼吸废气、凝液罐、成品罐放空废气、真空泵尾气及真空循环水罐废气通过罐顶部的放空口引入废气收集管线，和投料、灌装废气、真空泵废水收集系统废气共同经密闭管线引入布袋除尘器及二级活性炭吸附装置处理，处理后的废气经20m高排气筒排放</w:t>
      </w:r>
      <w:r>
        <w:rPr>
          <w:rFonts w:hint="eastAsia"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危废贮存库废气经集气管道收集后，</w:t>
      </w:r>
      <w:r>
        <w:rPr>
          <w:rFonts w:hint="eastAsia" w:cs="仿宋_GB2312"/>
          <w:color w:val="000000" w:themeColor="text1"/>
          <w:kern w:val="2"/>
          <w:sz w:val="32"/>
          <w:szCs w:val="32"/>
          <w:lang w:val="en-US" w:eastAsia="zh-CN" w:bidi="ar-SA"/>
          <w14:textFill>
            <w14:solidFill>
              <w14:schemeClr w14:val="tx1"/>
            </w14:solidFill>
          </w14:textFill>
        </w:rPr>
        <w:t>引入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生产车间二级活性炭吸附装置</w:t>
      </w:r>
      <w:r>
        <w:rPr>
          <w:rFonts w:hint="eastAsia" w:cs="仿宋_GB2312"/>
          <w:color w:val="000000" w:themeColor="text1"/>
          <w:kern w:val="2"/>
          <w:sz w:val="32"/>
          <w:szCs w:val="32"/>
          <w:lang w:val="en-US" w:eastAsia="zh-CN" w:bidi="ar-SA"/>
          <w14:textFill>
            <w14:solidFill>
              <w14:schemeClr w14:val="tx1"/>
            </w14:solidFill>
          </w14:textFill>
        </w:rPr>
        <w:t>，并通过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20m高排气筒排放。少量设备动静密封点废气</w:t>
      </w:r>
      <w:r>
        <w:rPr>
          <w:rFonts w:hint="eastAsia" w:ascii="仿宋_GB2312" w:hAnsi="仿宋_GB2312" w:eastAsia="仿宋_GB2312" w:cs="仿宋_GB2312"/>
          <w:color w:val="auto"/>
          <w:sz w:val="32"/>
          <w:szCs w:val="32"/>
          <w:lang w:val="en-US" w:eastAsia="zh-CN"/>
        </w:rPr>
        <w:t>、投料未收集粉尘无组织排放。加强管理，确保非甲烷总烃</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颗粒物有组织排放满足《石油化学工业污染物排放标准》（GB31571-2015</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含2024年修改单）表4要求；四氯乙烯排放浓度满足《石油化学工业污染物排放标准》（GB31571-2015，含2024年修改单）表6要求；</w:t>
      </w:r>
      <w:r>
        <w:rPr>
          <w:rFonts w:hint="eastAsia" w:cs="仿宋_GB2312"/>
          <w:color w:val="auto"/>
          <w:sz w:val="32"/>
          <w:szCs w:val="32"/>
          <w:lang w:val="en-US" w:eastAsia="zh-CN"/>
        </w:rPr>
        <w:t>厂内非甲烷总烃无组织排放满足《挥发性有机物无组织排放控制标准》（GB37822-2018）附录A要求；</w:t>
      </w:r>
      <w:r>
        <w:rPr>
          <w:rFonts w:hint="eastAsia" w:ascii="仿宋_GB2312" w:hAnsi="仿宋_GB2312" w:eastAsia="仿宋_GB2312" w:cs="仿宋_GB2312"/>
          <w:color w:val="auto"/>
          <w:sz w:val="32"/>
          <w:szCs w:val="32"/>
          <w:lang w:val="en-US" w:eastAsia="zh-CN"/>
        </w:rPr>
        <w:t>厂界无组织非甲烷总烃及颗粒物排放符合《石油化学工业污染物排放标准》（GB31571-2015</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含2024年修改单）表7要求。</w:t>
      </w:r>
    </w:p>
    <w:p w14:paraId="3852204B">
      <w:pPr>
        <w:pStyle w:val="14"/>
        <w:keepNext w:val="0"/>
        <w:keepLines w:val="0"/>
        <w:pageBreakBefore w:val="0"/>
        <w:kinsoku/>
        <w:wordWrap/>
        <w:overflowPunct/>
        <w:topLinePunct w:val="0"/>
        <w:bidi w:val="0"/>
        <w:snapToGrid/>
        <w:spacing w:line="4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优先选用低噪音设备，合理布局，采取有效的隔声减振措施，生产时关闭门窗，确保厂界噪声符合《工业企业厂界环境噪声排放标准》（GB12348-2008）中3类声环境功能区限值（东侧、南侧、西侧）、4类声环境功能区限值（北侧）。</w:t>
      </w:r>
    </w:p>
    <w:p w14:paraId="4CC72CB6">
      <w:pPr>
        <w:keepNext w:val="0"/>
        <w:keepLines w:val="0"/>
        <w:pageBreakBefore w:val="0"/>
        <w:widowControl/>
        <w:suppressLineNumbers w:val="0"/>
        <w:kinsoku/>
        <w:wordWrap/>
        <w:overflowPunct/>
        <w:topLinePunct w:val="0"/>
        <w:bidi w:val="0"/>
        <w:snapToGrid/>
        <w:spacing w:line="4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严格按照有关规定，对固体废物实施分类处理、处置，做到“减量化、资源化、无害化”，防止产生二次污染。本项目蒸发釜残、废机油、废含油抹布、真空泵排水、实验室废液</w:t>
      </w:r>
      <w:r>
        <w:rPr>
          <w:rFonts w:hint="eastAsia" w:cs="仿宋_GB2312"/>
          <w:color w:val="auto"/>
          <w:sz w:val="32"/>
          <w:szCs w:val="32"/>
          <w:lang w:val="en-US" w:eastAsia="zh-CN"/>
        </w:rPr>
        <w:t>均采用</w:t>
      </w:r>
      <w:r>
        <w:rPr>
          <w:rFonts w:hint="eastAsia" w:ascii="仿宋_GB2312" w:hAnsi="仿宋_GB2312" w:eastAsia="仿宋_GB2312" w:cs="仿宋_GB2312"/>
          <w:color w:val="auto"/>
          <w:sz w:val="32"/>
          <w:szCs w:val="32"/>
          <w:lang w:val="en-US" w:eastAsia="zh-CN"/>
        </w:rPr>
        <w:t>密封桶装，底部设托盘，废活性炭</w:t>
      </w:r>
      <w:r>
        <w:rPr>
          <w:rFonts w:hint="eastAsia" w:cs="仿宋_GB2312"/>
          <w:color w:val="auto"/>
          <w:sz w:val="32"/>
          <w:szCs w:val="32"/>
          <w:lang w:val="en-US" w:eastAsia="zh-CN"/>
        </w:rPr>
        <w:t>由带内衬的袋装，</w:t>
      </w:r>
      <w:r>
        <w:rPr>
          <w:rFonts w:hint="eastAsia" w:ascii="仿宋_GB2312" w:hAnsi="仿宋_GB2312" w:eastAsia="仿宋_GB2312" w:cs="仿宋_GB2312"/>
          <w:color w:val="auto"/>
          <w:sz w:val="32"/>
          <w:szCs w:val="32"/>
          <w:lang w:val="en-US" w:eastAsia="zh-CN"/>
        </w:rPr>
        <w:t>暂存于危废</w:t>
      </w:r>
      <w:r>
        <w:rPr>
          <w:rFonts w:hint="eastAsia" w:cs="仿宋_GB2312"/>
          <w:color w:val="auto"/>
          <w:sz w:val="32"/>
          <w:szCs w:val="32"/>
          <w:lang w:val="en-US" w:eastAsia="zh-CN"/>
        </w:rPr>
        <w:t>贮存库</w:t>
      </w:r>
      <w:r>
        <w:rPr>
          <w:rFonts w:hint="eastAsia" w:ascii="仿宋_GB2312" w:hAnsi="仿宋_GB2312" w:eastAsia="仿宋_GB2312" w:cs="仿宋_GB2312"/>
          <w:color w:val="auto"/>
          <w:sz w:val="32"/>
          <w:szCs w:val="32"/>
          <w:lang w:val="en-US" w:eastAsia="zh-CN"/>
        </w:rPr>
        <w:t>，委托</w:t>
      </w:r>
      <w:r>
        <w:rPr>
          <w:rFonts w:hint="eastAsia" w:cs="仿宋_GB2312"/>
          <w:color w:val="auto"/>
          <w:sz w:val="32"/>
          <w:szCs w:val="32"/>
          <w:lang w:val="en-US" w:eastAsia="zh-CN"/>
        </w:rPr>
        <w:t>有</w:t>
      </w:r>
      <w:r>
        <w:rPr>
          <w:rFonts w:hint="eastAsia" w:ascii="仿宋_GB2312" w:hAnsi="仿宋_GB2312" w:eastAsia="仿宋_GB2312" w:cs="仿宋_GB2312"/>
          <w:color w:val="auto"/>
          <w:sz w:val="32"/>
          <w:szCs w:val="32"/>
          <w:lang w:val="en-US" w:eastAsia="zh-CN"/>
        </w:rPr>
        <w:t>危险废物处置资质的单位处置；废布袋</w:t>
      </w:r>
      <w:r>
        <w:rPr>
          <w:rFonts w:hint="eastAsia" w:cs="仿宋_GB2312"/>
          <w:b w:val="0"/>
          <w:sz w:val="32"/>
          <w:szCs w:val="32"/>
          <w:highlight w:val="none"/>
          <w:lang w:val="en-US" w:eastAsia="zh-CN"/>
        </w:rPr>
        <w:t>由厂家回收</w:t>
      </w:r>
      <w:r>
        <w:rPr>
          <w:rFonts w:hint="eastAsia" w:ascii="仿宋_GB2312" w:hAnsi="仿宋_GB2312" w:eastAsia="仿宋_GB2312" w:cs="仿宋_GB2312"/>
          <w:color w:val="auto"/>
          <w:sz w:val="32"/>
          <w:szCs w:val="32"/>
          <w:lang w:val="en-US" w:eastAsia="zh-CN"/>
        </w:rPr>
        <w:t>；地面收集尘、布袋收集尘</w:t>
      </w:r>
      <w:r>
        <w:rPr>
          <w:rFonts w:hint="eastAsia" w:cs="仿宋_GB2312"/>
          <w:color w:val="auto"/>
          <w:sz w:val="32"/>
          <w:szCs w:val="32"/>
          <w:lang w:val="en-US" w:eastAsia="zh-CN"/>
        </w:rPr>
        <w:t>袋装</w:t>
      </w:r>
      <w:r>
        <w:rPr>
          <w:rFonts w:hint="eastAsia"/>
          <w:color w:val="000000"/>
          <w:u w:val="none"/>
          <w:lang w:val="en-US" w:eastAsia="zh-CN"/>
        </w:rPr>
        <w:t>外售</w:t>
      </w:r>
      <w:r>
        <w:rPr>
          <w:rFonts w:hint="eastAsia" w:ascii="仿宋_GB2312" w:hAnsi="仿宋_GB2312" w:eastAsia="仿宋_GB2312" w:cs="仿宋_GB2312"/>
          <w:color w:val="auto"/>
          <w:sz w:val="32"/>
          <w:szCs w:val="32"/>
          <w:lang w:val="en-US" w:eastAsia="zh-CN"/>
        </w:rPr>
        <w:t>；生活垃圾统一收集，由环卫部门定期清运。加强管理，确保危险废物处置符合《危险废物贮存污染控制标准》（GB18597-2023）</w:t>
      </w:r>
      <w:r>
        <w:rPr>
          <w:rFonts w:hint="eastAsia" w:cs="仿宋_GB2312"/>
          <w:color w:val="auto"/>
          <w:sz w:val="32"/>
          <w:szCs w:val="32"/>
          <w:lang w:val="en-US" w:eastAsia="zh-CN"/>
        </w:rPr>
        <w:t>及《危险废物转移管理办法》</w:t>
      </w:r>
      <w:r>
        <w:rPr>
          <w:rFonts w:hint="eastAsia" w:ascii="仿宋_GB2312" w:hAnsi="仿宋_GB2312" w:eastAsia="仿宋_GB2312" w:cs="仿宋_GB2312"/>
          <w:color w:val="auto"/>
          <w:sz w:val="32"/>
          <w:szCs w:val="32"/>
          <w:lang w:val="en-US" w:eastAsia="zh-CN"/>
        </w:rPr>
        <w:t>；固体废物处置符合《</w:t>
      </w:r>
      <w:r>
        <w:rPr>
          <w:rFonts w:hint="eastAsia" w:ascii="仿宋_GB2312" w:hAnsi="仿宋_GB2312" w:eastAsia="仿宋_GB2312" w:cs="仿宋_GB2312"/>
          <w:sz w:val="32"/>
          <w:szCs w:val="32"/>
          <w:highlight w:val="none"/>
          <w:lang w:val="en-US" w:eastAsia="zh-CN"/>
        </w:rPr>
        <w:t>一般工业固体废物贮存和填埋污染控</w:t>
      </w:r>
      <w:r>
        <w:rPr>
          <w:rFonts w:hint="eastAsia" w:ascii="仿宋_GB2312" w:hAnsi="仿宋_GB2312" w:eastAsia="仿宋_GB2312" w:cs="仿宋_GB2312"/>
          <w:color w:val="auto"/>
          <w:sz w:val="32"/>
          <w:szCs w:val="32"/>
          <w:lang w:val="en-US" w:eastAsia="zh-CN"/>
        </w:rPr>
        <w:t>制标准》（GB18599-2020）。　</w:t>
      </w:r>
    </w:p>
    <w:p w14:paraId="1125E302">
      <w:pPr>
        <w:keepNext w:val="0"/>
        <w:keepLines w:val="0"/>
        <w:pageBreakBefore w:val="0"/>
        <w:widowControl/>
        <w:suppressLineNumbers w:val="0"/>
        <w:kinsoku/>
        <w:wordWrap/>
        <w:overflowPunct/>
        <w:topLinePunct w:val="0"/>
        <w:bidi w:val="0"/>
        <w:snapToGrid/>
        <w:spacing w:line="48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落实地下水和土壤污染防治措施。厂区采取分区防渗</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本项目生产车间内原料暂存罐区</w:t>
      </w:r>
      <w:r>
        <w:rPr>
          <w:rFonts w:hint="eastAsia" w:cs="仿宋_GB2312"/>
          <w:color w:val="auto"/>
          <w:sz w:val="32"/>
          <w:szCs w:val="32"/>
          <w:lang w:val="en-US" w:eastAsia="zh-CN"/>
        </w:rPr>
        <w:t>、危废贮存库为</w:t>
      </w:r>
      <w:r>
        <w:rPr>
          <w:rFonts w:hint="eastAsia" w:ascii="仿宋_GB2312" w:hAnsi="仿宋_GB2312" w:eastAsia="仿宋_GB2312" w:cs="仿宋_GB2312"/>
          <w:color w:val="auto"/>
          <w:sz w:val="32"/>
          <w:szCs w:val="32"/>
          <w:lang w:val="en-US" w:eastAsia="zh-CN"/>
        </w:rPr>
        <w:t>重点防渗</w:t>
      </w:r>
      <w:r>
        <w:rPr>
          <w:rFonts w:hint="eastAsia"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，设液体泄漏堵截设施及渗滤液收集设施；生产车间</w:t>
      </w:r>
      <w:r>
        <w:rPr>
          <w:rFonts w:hint="eastAsia" w:cs="仿宋_GB2312"/>
          <w:color w:val="auto"/>
          <w:sz w:val="32"/>
          <w:szCs w:val="32"/>
          <w:lang w:val="en-US" w:eastAsia="zh-CN"/>
        </w:rPr>
        <w:t>其他位置</w:t>
      </w:r>
      <w:r>
        <w:rPr>
          <w:rFonts w:hint="eastAsia" w:ascii="仿宋_GB2312" w:hAnsi="仿宋_GB2312" w:eastAsia="仿宋_GB2312" w:cs="仿宋_GB2312"/>
          <w:color w:val="auto"/>
          <w:sz w:val="32"/>
          <w:szCs w:val="32"/>
          <w:lang w:val="en-US" w:eastAsia="zh-CN"/>
        </w:rPr>
        <w:t>、装卸区、灌装区</w:t>
      </w:r>
      <w:r>
        <w:rPr>
          <w:rFonts w:hint="eastAsia" w:cs="仿宋_GB2312"/>
          <w:color w:val="auto"/>
          <w:sz w:val="32"/>
          <w:szCs w:val="32"/>
          <w:lang w:val="en-US" w:eastAsia="zh-CN"/>
        </w:rPr>
        <w:t>为</w:t>
      </w:r>
      <w:r>
        <w:rPr>
          <w:rFonts w:hint="eastAsia" w:ascii="仿宋_GB2312" w:hAnsi="仿宋_GB2312" w:eastAsia="仿宋_GB2312" w:cs="仿宋_GB2312"/>
          <w:color w:val="auto"/>
          <w:sz w:val="32"/>
          <w:szCs w:val="32"/>
          <w:lang w:val="en-US" w:eastAsia="zh-CN"/>
        </w:rPr>
        <w:t>一般防渗</w:t>
      </w:r>
      <w:r>
        <w:rPr>
          <w:rFonts w:hint="eastAsia"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；办公区、配电室</w:t>
      </w:r>
      <w:r>
        <w:rPr>
          <w:rFonts w:hint="eastAsia" w:cs="仿宋_GB2312"/>
          <w:color w:val="auto"/>
          <w:sz w:val="32"/>
          <w:szCs w:val="32"/>
          <w:lang w:val="en-US" w:eastAsia="zh-CN"/>
        </w:rPr>
        <w:t>为</w:t>
      </w:r>
      <w:r>
        <w:rPr>
          <w:rFonts w:hint="eastAsia" w:ascii="仿宋_GB2312" w:hAnsi="仿宋_GB2312" w:eastAsia="仿宋_GB2312" w:cs="仿宋_GB2312"/>
          <w:color w:val="auto"/>
          <w:sz w:val="32"/>
          <w:szCs w:val="32"/>
          <w:lang w:val="en-US" w:eastAsia="zh-CN"/>
        </w:rPr>
        <w:t>简单防渗</w:t>
      </w:r>
      <w:r>
        <w:rPr>
          <w:rFonts w:hint="eastAsia"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。加强管理，确保危废贮存库建设管理满足《危险废物贮存污染控制标准》（GB18597-2023）及《石油化工工程防渗技术规划》要求，</w:t>
      </w:r>
      <w:r>
        <w:rPr>
          <w:rFonts w:hint="eastAsia" w:ascii="仿宋_GB2312" w:hAnsi="仿宋_GB2312" w:eastAsia="仿宋_GB2312" w:cs="仿宋_GB2312"/>
          <w:color w:val="auto"/>
          <w:sz w:val="32"/>
          <w:szCs w:val="32"/>
          <w:lang w:val="en-GB" w:eastAsia="zh-CN"/>
        </w:rPr>
        <w:t>设置地下水监控井、土壤跟踪监控点</w:t>
      </w:r>
      <w:r>
        <w:rPr>
          <w:rFonts w:hint="eastAsia" w:cs="仿宋_GB2312"/>
          <w:color w:val="auto"/>
          <w:sz w:val="32"/>
          <w:szCs w:val="32"/>
          <w:lang w:val="en-GB" w:eastAsia="zh-CN"/>
        </w:rPr>
        <w:t>，</w:t>
      </w:r>
      <w:r>
        <w:rPr>
          <w:rFonts w:hint="eastAsia" w:ascii="仿宋_GB2312" w:hAnsi="仿宋_GB2312" w:eastAsia="仿宋_GB2312" w:cs="仿宋_GB2312"/>
          <w:color w:val="auto"/>
          <w:sz w:val="32"/>
          <w:szCs w:val="32"/>
          <w:lang w:val="en-US" w:eastAsia="zh-CN"/>
        </w:rPr>
        <w:t>建立监管制度，对各防渗区域进行定期检查及修复，以免防渗层意外破损导致污染物下渗污染地下水及土壤环境。</w:t>
      </w:r>
    </w:p>
    <w:p w14:paraId="651D8E8F">
      <w:pPr>
        <w:keepNext w:val="0"/>
        <w:keepLines w:val="0"/>
        <w:pageBreakBefore w:val="0"/>
        <w:widowControl/>
        <w:suppressLineNumbers w:val="0"/>
        <w:kinsoku/>
        <w:wordWrap/>
        <w:overflowPunct/>
        <w:topLinePunct w:val="0"/>
        <w:bidi w:val="0"/>
        <w:snapToGrid/>
        <w:spacing w:line="480" w:lineRule="exact"/>
        <w:jc w:val="left"/>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7</w:t>
      </w:r>
      <w:r>
        <w:rPr>
          <w:rFonts w:hint="eastAsia" w:cs="仿宋_GB2312"/>
          <w:color w:val="auto"/>
          <w:sz w:val="32"/>
          <w:szCs w:val="32"/>
          <w:lang w:val="en-US" w:eastAsia="zh-CN"/>
        </w:rPr>
        <w:t>.</w:t>
      </w:r>
      <w:r>
        <w:rPr>
          <w:rFonts w:hint="eastAsia" w:ascii="仿宋_GB2312" w:hAnsi="仿宋_GB2312" w:eastAsia="仿宋_GB2312" w:cs="仿宋_GB2312"/>
          <w:bCs/>
          <w:color w:val="auto"/>
          <w:kern w:val="2"/>
          <w:sz w:val="32"/>
          <w:szCs w:val="32"/>
          <w:lang w:val="en-US" w:eastAsia="zh-CN" w:bidi="ar-SA"/>
        </w:rPr>
        <w:t>严格落实环评报告中的风险防范和应急措施。</w:t>
      </w:r>
      <w:r>
        <w:rPr>
          <w:rFonts w:hint="eastAsia" w:cs="仿宋_GB2312"/>
          <w:bCs/>
          <w:color w:val="auto"/>
          <w:kern w:val="2"/>
          <w:sz w:val="32"/>
          <w:szCs w:val="32"/>
          <w:lang w:val="en-US" w:eastAsia="zh-CN" w:bidi="ar-SA"/>
        </w:rPr>
        <w:t>及时</w:t>
      </w:r>
      <w:r>
        <w:rPr>
          <w:rFonts w:hint="eastAsia" w:ascii="仿宋_GB2312" w:hAnsi="仿宋_GB2312" w:eastAsia="仿宋_GB2312" w:cs="仿宋_GB2312"/>
          <w:bCs/>
          <w:color w:val="auto"/>
          <w:kern w:val="2"/>
          <w:sz w:val="32"/>
          <w:szCs w:val="32"/>
          <w:lang w:val="en-US" w:eastAsia="zh-CN" w:bidi="ar-SA"/>
        </w:rPr>
        <w:t>制定污染事故防范和处理应急预案，提高事故风险防范和污染控制能力。</w:t>
      </w:r>
      <w:r>
        <w:rPr>
          <w:rFonts w:hint="eastAsia" w:ascii="仿宋_GB2312" w:hAnsi="仿宋_GB2312" w:eastAsia="仿宋_GB2312" w:cs="仿宋_GB2312"/>
          <w:bCs/>
          <w:color w:val="auto"/>
          <w:kern w:val="2"/>
          <w:sz w:val="32"/>
          <w:szCs w:val="32"/>
          <w:lang w:val="en-GB" w:eastAsia="zh-CN" w:bidi="ar-SA"/>
        </w:rPr>
        <w:t>厂区</w:t>
      </w:r>
      <w:r>
        <w:rPr>
          <w:rFonts w:hint="eastAsia" w:ascii="仿宋_GB2312" w:hAnsi="仿宋_GB2312" w:eastAsia="仿宋_GB2312" w:cs="仿宋_GB2312"/>
          <w:bCs/>
          <w:color w:val="auto"/>
          <w:kern w:val="2"/>
          <w:sz w:val="32"/>
          <w:szCs w:val="32"/>
          <w:lang w:val="en-US" w:eastAsia="zh-CN" w:bidi="ar-SA"/>
        </w:rPr>
        <w:t>设置</w:t>
      </w:r>
      <w:r>
        <w:rPr>
          <w:rFonts w:hint="eastAsia" w:ascii="仿宋_GB2312" w:hAnsi="仿宋_GB2312" w:eastAsia="仿宋_GB2312" w:cs="仿宋_GB2312"/>
          <w:bCs/>
          <w:color w:val="auto"/>
          <w:kern w:val="2"/>
          <w:sz w:val="32"/>
          <w:szCs w:val="32"/>
          <w:lang w:val="en-GB" w:eastAsia="zh-CN" w:bidi="ar-SA"/>
        </w:rPr>
        <w:t>二级应急防控体系：一级防控设施为暂存罐区、生产装置区及灌装线区设置</w:t>
      </w:r>
      <w:r>
        <w:rPr>
          <w:rFonts w:hint="eastAsia" w:cs="仿宋_GB2312"/>
          <w:bCs/>
          <w:color w:val="auto"/>
          <w:kern w:val="2"/>
          <w:sz w:val="32"/>
          <w:szCs w:val="32"/>
          <w:lang w:val="en-US" w:eastAsia="zh-CN" w:bidi="ar-SA"/>
        </w:rPr>
        <w:t>的</w:t>
      </w:r>
      <w:r>
        <w:rPr>
          <w:rFonts w:hint="eastAsia" w:ascii="仿宋_GB2312" w:hAnsi="仿宋_GB2312" w:eastAsia="仿宋_GB2312" w:cs="仿宋_GB2312"/>
          <w:bCs/>
          <w:color w:val="auto"/>
          <w:kern w:val="2"/>
          <w:sz w:val="32"/>
          <w:szCs w:val="32"/>
          <w:lang w:val="en-GB" w:eastAsia="zh-CN" w:bidi="ar-SA"/>
        </w:rPr>
        <w:t>0.3m高围堰，产品库、生产车间及危废贮存库门口设置缓坡门槛</w:t>
      </w:r>
      <w:r>
        <w:rPr>
          <w:rFonts w:hint="eastAsia" w:cs="仿宋_GB2312"/>
          <w:bCs/>
          <w:color w:val="auto"/>
          <w:kern w:val="2"/>
          <w:sz w:val="32"/>
          <w:szCs w:val="32"/>
          <w:lang w:val="en-GB" w:eastAsia="zh-CN" w:bidi="ar-SA"/>
        </w:rPr>
        <w:t>；</w:t>
      </w:r>
      <w:r>
        <w:rPr>
          <w:rFonts w:hint="eastAsia" w:ascii="仿宋_GB2312" w:hAnsi="仿宋_GB2312" w:eastAsia="仿宋_GB2312" w:cs="仿宋_GB2312"/>
          <w:bCs/>
          <w:color w:val="auto"/>
          <w:kern w:val="2"/>
          <w:sz w:val="32"/>
          <w:szCs w:val="32"/>
          <w:lang w:val="en-GB" w:eastAsia="zh-CN" w:bidi="ar-SA"/>
        </w:rPr>
        <w:t>二级防控</w:t>
      </w:r>
      <w:r>
        <w:rPr>
          <w:rFonts w:hint="eastAsia" w:ascii="仿宋_GB2312" w:hAnsi="仿宋_GB2312" w:eastAsia="仿宋_GB2312" w:cs="仿宋_GB2312"/>
          <w:bCs/>
          <w:color w:val="auto"/>
          <w:kern w:val="2"/>
          <w:sz w:val="32"/>
          <w:szCs w:val="32"/>
          <w:lang w:val="en-US" w:eastAsia="zh-CN" w:bidi="ar-SA"/>
        </w:rPr>
        <w:t>新建一座75</w:t>
      </w:r>
      <w:r>
        <w:rPr>
          <w:rFonts w:hint="eastAsia" w:ascii="仿宋_GB2312" w:hAnsi="仿宋_GB2312" w:eastAsia="仿宋_GB2312" w:cs="仿宋_GB2312"/>
          <w:bCs/>
          <w:color w:val="auto"/>
          <w:kern w:val="2"/>
          <w:sz w:val="32"/>
          <w:szCs w:val="32"/>
          <w:lang w:val="en-GB" w:eastAsia="zh-CN" w:bidi="ar-SA"/>
        </w:rPr>
        <w:t>0m</w:t>
      </w:r>
      <w:r>
        <w:rPr>
          <w:rFonts w:hint="eastAsia" w:ascii="仿宋_GB2312" w:hAnsi="仿宋_GB2312" w:eastAsia="仿宋_GB2312" w:cs="仿宋_GB2312"/>
          <w:bCs/>
          <w:color w:val="auto"/>
          <w:kern w:val="2"/>
          <w:sz w:val="32"/>
          <w:szCs w:val="32"/>
          <w:vertAlign w:val="superscript"/>
          <w:lang w:val="en-GB" w:eastAsia="zh-CN" w:bidi="ar-SA"/>
        </w:rPr>
        <w:t>3</w:t>
      </w:r>
      <w:r>
        <w:rPr>
          <w:rFonts w:hint="eastAsia" w:ascii="仿宋_GB2312" w:hAnsi="仿宋_GB2312" w:eastAsia="仿宋_GB2312" w:cs="仿宋_GB2312"/>
          <w:bCs/>
          <w:color w:val="auto"/>
          <w:kern w:val="2"/>
          <w:sz w:val="32"/>
          <w:szCs w:val="32"/>
          <w:lang w:val="en-GB" w:eastAsia="zh-CN" w:bidi="ar-SA"/>
        </w:rPr>
        <w:t>事故应急池</w:t>
      </w:r>
      <w:r>
        <w:rPr>
          <w:rFonts w:hint="eastAsia" w:cs="仿宋_GB2312"/>
          <w:bCs/>
          <w:color w:val="auto"/>
          <w:kern w:val="2"/>
          <w:sz w:val="32"/>
          <w:szCs w:val="32"/>
          <w:lang w:val="en-GB" w:eastAsia="zh-CN" w:bidi="ar-SA"/>
        </w:rPr>
        <w:t>。</w:t>
      </w:r>
      <w:r>
        <w:rPr>
          <w:rFonts w:hint="eastAsia" w:ascii="仿宋_GB2312" w:hAnsi="仿宋_GB2312" w:eastAsia="仿宋_GB2312" w:cs="仿宋_GB2312"/>
          <w:bCs/>
          <w:color w:val="auto"/>
          <w:kern w:val="2"/>
          <w:sz w:val="32"/>
          <w:szCs w:val="32"/>
          <w:lang w:val="en-GB" w:eastAsia="zh-CN" w:bidi="ar-SA"/>
        </w:rPr>
        <w:t>生产车间内安装四氯乙烯气体检测仪</w:t>
      </w:r>
      <w:r>
        <w:rPr>
          <w:rFonts w:hint="eastAsia" w:cs="仿宋_GB2312"/>
          <w:bCs/>
          <w:color w:val="auto"/>
          <w:kern w:val="2"/>
          <w:sz w:val="32"/>
          <w:szCs w:val="32"/>
          <w:lang w:val="en-GB" w:eastAsia="zh-CN" w:bidi="ar-SA"/>
        </w:rPr>
        <w:t>。</w:t>
      </w:r>
    </w:p>
    <w:p w14:paraId="46E82432">
      <w:pPr>
        <w:pStyle w:val="18"/>
        <w:keepNext w:val="0"/>
        <w:keepLines w:val="0"/>
        <w:pageBreakBefore w:val="0"/>
        <w:kinsoku/>
        <w:wordWrap/>
        <w:overflowPunct/>
        <w:topLinePunct w:val="0"/>
        <w:bidi w:val="0"/>
        <w:snapToGrid/>
        <w:spacing w:line="4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bCs/>
          <w:color w:val="auto"/>
          <w:kern w:val="2"/>
          <w:sz w:val="32"/>
          <w:szCs w:val="32"/>
          <w:lang w:val="en-US" w:eastAsia="zh-CN" w:bidi="ar-SA"/>
        </w:rPr>
        <w:t>企业应按照相关要求落实监测计划。</w:t>
      </w:r>
    </w:p>
    <w:p w14:paraId="51F518F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重新审核。</w:t>
      </w:r>
    </w:p>
    <w:p w14:paraId="47F6C35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有机衔接环境影响评价与排污许可证申领。按照《排污许可管理办法》的要求，项目在启动生产设施或者在实际排污之前，申请并领取排污许可证，要将经批准的环境影响评价文件中各项环境保护措施、污染物排放清单及其他有关内容载入排污许可证，并按证排污。</w:t>
      </w:r>
    </w:p>
    <w:p w14:paraId="2E0B4AD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项目建设要严格执行配套建设的环境保护设施与主体工程同时设计、同时施工、同时投入使用的环境保护“三同时”制度。项目竣工后，建设单位按规定程序进行环保设施竣工验收。验收合格后，项目方可正式投入运行。</w:t>
      </w:r>
    </w:p>
    <w:p w14:paraId="1B445562">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bidi="ar-SA"/>
        </w:rPr>
        <w:t>六、由吉林市生态环境保护综合行政执法支队龙潭大队负责按照《建设项目环境保护事中事后监督管理办法（试行）》（环发〔2015〕163号）的规定，进行本建设项目事中事后的环境监督管理工作。</w:t>
      </w:r>
    </w:p>
    <w:p w14:paraId="0ABF153B">
      <w:pPr>
        <w:pStyle w:val="6"/>
        <w:rPr>
          <w:rFonts w:hint="eastAsia"/>
          <w:lang w:eastAsia="zh-CN"/>
        </w:rPr>
      </w:pPr>
    </w:p>
    <w:p w14:paraId="4F50A590">
      <w:pPr>
        <w:pStyle w:val="7"/>
        <w:widowControl w:val="0"/>
        <w:numPr>
          <w:ilvl w:val="0"/>
          <w:numId w:val="0"/>
        </w:numPr>
        <w:spacing w:line="576" w:lineRule="exact"/>
        <w:jc w:val="both"/>
        <w:rPr>
          <w:rFonts w:hint="eastAsia"/>
          <w:lang w:eastAsia="zh-CN"/>
        </w:rPr>
      </w:pPr>
    </w:p>
    <w:p w14:paraId="526215A7">
      <w:pPr>
        <w:pStyle w:val="7"/>
        <w:widowControl w:val="0"/>
        <w:numPr>
          <w:ilvl w:val="0"/>
          <w:numId w:val="0"/>
        </w:numPr>
        <w:spacing w:line="576" w:lineRule="exact"/>
        <w:jc w:val="both"/>
        <w:rPr>
          <w:rFonts w:hint="eastAsia"/>
          <w:lang w:eastAsia="zh-CN"/>
        </w:rPr>
      </w:pPr>
    </w:p>
    <w:p w14:paraId="7CDFEAC4">
      <w:pPr>
        <w:keepNext w:val="0"/>
        <w:keepLines w:val="0"/>
        <w:pageBreakBefore w:val="0"/>
        <w:widowControl w:val="0"/>
        <w:kinsoku/>
        <w:wordWrap/>
        <w:overflowPunct/>
        <w:topLinePunct w:val="0"/>
        <w:autoSpaceDE w:val="0"/>
        <w:autoSpaceDN w:val="0"/>
        <w:bidi w:val="0"/>
        <w:adjustRightInd w:val="0"/>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吉林市生态环境局</w:t>
      </w:r>
    </w:p>
    <w:p w14:paraId="7E14DD2F">
      <w:pPr>
        <w:keepNext w:val="0"/>
        <w:keepLines w:val="0"/>
        <w:pageBreakBefore w:val="0"/>
        <w:widowControl w:val="0"/>
        <w:kinsoku/>
        <w:wordWrap/>
        <w:overflowPunct/>
        <w:topLinePunct w:val="0"/>
        <w:autoSpaceDE w:val="0"/>
        <w:autoSpaceDN w:val="0"/>
        <w:bidi w:val="0"/>
        <w:adjustRightInd w:val="0"/>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2025</w:t>
      </w:r>
      <w:r>
        <w:rPr>
          <w:rFonts w:hint="eastAsia" w:ascii="仿宋_GB2312" w:hAnsi="仿宋_GB2312" w:eastAsia="仿宋_GB2312" w:cs="仿宋_GB2312"/>
          <w:sz w:val="32"/>
          <w:szCs w:val="32"/>
        </w:rPr>
        <w:t>年</w:t>
      </w:r>
      <w:r>
        <w:rPr>
          <w:rFonts w:hint="eastAsia" w:cs="仿宋_GB2312"/>
          <w:sz w:val="32"/>
          <w:szCs w:val="32"/>
          <w:lang w:val="en-US" w:eastAsia="zh-CN"/>
        </w:rPr>
        <w:t>7月28</w:t>
      </w:r>
      <w:r>
        <w:rPr>
          <w:rFonts w:hint="eastAsia" w:ascii="仿宋_GB2312" w:hAnsi="仿宋_GB2312" w:eastAsia="仿宋_GB2312" w:cs="仿宋_GB2312"/>
          <w:sz w:val="32"/>
          <w:szCs w:val="32"/>
        </w:rPr>
        <w:t>日</w:t>
      </w:r>
      <w:r>
        <w:rPr>
          <w:rFonts w:hint="eastAsia" w:cs="仿宋_GB2312"/>
          <w:sz w:val="32"/>
          <w:szCs w:val="32"/>
          <w:lang w:val="en-US" w:eastAsia="zh-CN"/>
        </w:rPr>
        <w:t xml:space="preserve">        </w:t>
      </w:r>
    </w:p>
    <w:tbl>
      <w:tblPr>
        <w:tblStyle w:val="16"/>
        <w:tblpPr w:vertAnchor="page" w:horzAnchor="page" w:tblpX="1522" w:tblpY="14197"/>
        <w:tblOverlap w:val="never"/>
        <w:tblW w:w="886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0"/>
        <w:gridCol w:w="4431"/>
      </w:tblGrid>
      <w:tr w14:paraId="7E2367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blHeader/>
        </w:trPr>
        <w:tc>
          <w:tcPr>
            <w:tcW w:w="8861" w:type="dxa"/>
            <w:gridSpan w:val="2"/>
            <w:shd w:val="clear" w:color="auto" w:fill="auto"/>
          </w:tcPr>
          <w:p w14:paraId="356620AF">
            <w:pPr>
              <w:ind w:left="1160" w:leftChars="100" w:hanging="840" w:hangingChars="300"/>
              <w:jc w:val="left"/>
              <w:rPr>
                <w:rFonts w:ascii="仿宋" w:hAnsi="仿宋" w:eastAsia="仿宋"/>
                <w:sz w:val="28"/>
                <w:szCs w:val="28"/>
              </w:rPr>
            </w:pPr>
            <w:r>
              <w:rPr>
                <w:rFonts w:hint="eastAsia" w:ascii="仿宋" w:hAnsi="仿宋" w:eastAsia="仿宋"/>
                <w:sz w:val="28"/>
                <w:szCs w:val="28"/>
              </w:rPr>
              <w:t>抄送：</w:t>
            </w:r>
            <w:r>
              <w:rPr>
                <w:rFonts w:hint="eastAsia" w:ascii="仿宋" w:hAnsi="仿宋" w:eastAsia="仿宋" w:cs="Times New Roman"/>
                <w:sz w:val="28"/>
                <w:szCs w:val="28"/>
              </w:rPr>
              <w:t>吉林市生态环境保护综合行政执法支队龙潭大队</w:t>
            </w:r>
          </w:p>
        </w:tc>
      </w:tr>
      <w:tr w14:paraId="600F5C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4430" w:type="dxa"/>
            <w:shd w:val="clear" w:color="auto" w:fill="auto"/>
          </w:tcPr>
          <w:p w14:paraId="23959F85">
            <w:pPr>
              <w:ind w:left="1160" w:leftChars="100" w:hanging="840" w:hangingChars="3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吉林市生态环境局</w:t>
            </w:r>
            <w:r>
              <w:rPr>
                <w:rFonts w:hint="eastAsia" w:ascii="仿宋" w:hAnsi="仿宋" w:eastAsia="仿宋"/>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5715</wp:posOffset>
                      </wp:positionV>
                      <wp:extent cx="562229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222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45pt;height:0pt;width:442.7pt;z-index:251660288;mso-width-relative:page;mso-height-relative:page;" filled="f" stroked="t" coordsize="21600,21600" o:gfxdata="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jzS+NAAAAADAQAADwAAAAAA&#10;AAABACAAAAAiAAAAZHJzL2Rvd25yZXYueG1sUEsBAhQAFAAAAAgAh07iQEbxpi3iAQAAsQMAAA4A&#10;AAAAAAAAAQAgAAAAHwEAAGRycy9lMm9Eb2MueG1sUEsFBgAAAAAGAAYAWQEAAHMFAAAAAA==&#10;">
                      <v:fill on="f" focussize="0,0"/>
                      <v:stroke weight="0.5pt" color="#000000 [3213]" miterlimit="8" joinstyle="miter"/>
                      <v:imagedata o:title=""/>
                      <o:lock v:ext="edit" aspectratio="f"/>
                    </v:line>
                  </w:pict>
                </mc:Fallback>
              </mc:AlternateContent>
            </w:r>
          </w:p>
        </w:tc>
        <w:tc>
          <w:tcPr>
            <w:tcW w:w="4431" w:type="dxa"/>
            <w:shd w:val="clear" w:color="auto" w:fill="auto"/>
          </w:tcPr>
          <w:p w14:paraId="1F23576B">
            <w:pPr>
              <w:ind w:left="0" w:leftChars="0" w:right="0" w:rightChars="0" w:firstLine="1400" w:firstLineChars="500"/>
              <w:jc w:val="left"/>
              <w:rPr>
                <w:rFonts w:hint="eastAsia" w:ascii="仿宋" w:hAnsi="仿宋" w:eastAsia="仿宋"/>
                <w:sz w:val="28"/>
                <w:szCs w:val="28"/>
              </w:rPr>
            </w:pP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28</w:t>
            </w:r>
            <w:r>
              <w:rPr>
                <w:rFonts w:hint="eastAsia" w:ascii="仿宋" w:hAnsi="仿宋" w:eastAsia="仿宋"/>
                <w:sz w:val="28"/>
                <w:szCs w:val="28"/>
              </w:rPr>
              <w:t>日印发</w:t>
            </w:r>
          </w:p>
        </w:tc>
      </w:tr>
    </w:tbl>
    <w:p w14:paraId="1E0616B6">
      <w:pPr>
        <w:keepNext w:val="0"/>
        <w:keepLines w:val="0"/>
        <w:pageBreakBefore w:val="0"/>
        <w:widowControl w:val="0"/>
        <w:tabs>
          <w:tab w:val="left" w:pos="540"/>
        </w:tabs>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6A1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F1EA8">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F1EA8">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31924"/>
    <w:multiLevelType w:val="singleLevel"/>
    <w:tmpl w:val="01F31924"/>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1">
    <w:nsid w:val="73E381FC"/>
    <w:multiLevelType w:val="multilevel"/>
    <w:tmpl w:val="73E381FC"/>
    <w:lvl w:ilvl="0" w:tentative="0">
      <w:start w:val="1"/>
      <w:numFmt w:val="chineseCounting"/>
      <w:pStyle w:val="2"/>
      <w:suff w:val="nothing"/>
      <w:lvlText w:val="%1、"/>
      <w:lvlJc w:val="left"/>
      <w:pPr>
        <w:tabs>
          <w:tab w:val="left" w:pos="993"/>
        </w:tabs>
        <w:ind w:left="993" w:firstLine="0"/>
      </w:pPr>
      <w:rPr>
        <w:rFonts w:hint="eastAsia"/>
      </w:rPr>
    </w:lvl>
    <w:lvl w:ilvl="1" w:tentative="0">
      <w:start w:val="1"/>
      <w:numFmt w:val="chineseCounting"/>
      <w:pStyle w:val="3"/>
      <w:suff w:val="nothing"/>
      <w:lvlText w:val="（%2）"/>
      <w:lvlJc w:val="left"/>
      <w:pPr>
        <w:ind w:left="993" w:firstLine="0"/>
      </w:pPr>
      <w:rPr>
        <w:rFonts w:hint="eastAsia" w:ascii="仿宋" w:hAnsi="仿宋" w:eastAsia="仿宋" w:cs="宋体"/>
      </w:rPr>
    </w:lvl>
    <w:lvl w:ilvl="2" w:tentative="0">
      <w:start w:val="1"/>
      <w:numFmt w:val="decimal"/>
      <w:pStyle w:val="4"/>
      <w:suff w:val="nothing"/>
      <w:lvlText w:val="%3．"/>
      <w:lvlJc w:val="left"/>
      <w:pPr>
        <w:ind w:left="993" w:firstLine="400"/>
      </w:pPr>
      <w:rPr>
        <w:rFonts w:hint="eastAsia" w:ascii="宋体" w:hAnsi="宋体" w:eastAsia="宋体" w:cs="宋体"/>
      </w:rPr>
    </w:lvl>
    <w:lvl w:ilvl="3" w:tentative="0">
      <w:start w:val="1"/>
      <w:numFmt w:val="decimal"/>
      <w:suff w:val="nothing"/>
      <w:lvlText w:val="（%4）"/>
      <w:lvlJc w:val="left"/>
      <w:pPr>
        <w:ind w:left="1017" w:firstLine="402"/>
      </w:pPr>
      <w:rPr>
        <w:rFonts w:hint="eastAsia" w:ascii="宋体" w:hAnsi="宋体" w:eastAsia="宋体" w:cs="宋体"/>
        <w:lang w:val="en-US"/>
      </w:rPr>
    </w:lvl>
    <w:lvl w:ilvl="4" w:tentative="0">
      <w:start w:val="1"/>
      <w:numFmt w:val="decimalEnclosedCircleChinese"/>
      <w:suff w:val="nothing"/>
      <w:lvlText w:val="%5"/>
      <w:lvlJc w:val="left"/>
      <w:pPr>
        <w:ind w:left="993" w:firstLine="402"/>
      </w:pPr>
      <w:rPr>
        <w:rFonts w:hint="eastAsia"/>
      </w:rPr>
    </w:lvl>
    <w:lvl w:ilvl="5" w:tentative="0">
      <w:start w:val="1"/>
      <w:numFmt w:val="decimal"/>
      <w:suff w:val="nothing"/>
      <w:lvlText w:val="%6）"/>
      <w:lvlJc w:val="left"/>
      <w:pPr>
        <w:ind w:left="993" w:firstLine="402"/>
      </w:pPr>
      <w:rPr>
        <w:rFonts w:hint="eastAsia"/>
      </w:rPr>
    </w:lvl>
    <w:lvl w:ilvl="6" w:tentative="0">
      <w:start w:val="1"/>
      <w:numFmt w:val="lowerLetter"/>
      <w:suff w:val="nothing"/>
      <w:lvlText w:val="%7．"/>
      <w:lvlJc w:val="left"/>
      <w:pPr>
        <w:ind w:left="993" w:firstLine="402"/>
      </w:pPr>
      <w:rPr>
        <w:rFonts w:hint="eastAsia"/>
      </w:rPr>
    </w:lvl>
    <w:lvl w:ilvl="7" w:tentative="0">
      <w:start w:val="1"/>
      <w:numFmt w:val="lowerLetter"/>
      <w:suff w:val="nothing"/>
      <w:lvlText w:val="%8）"/>
      <w:lvlJc w:val="left"/>
      <w:pPr>
        <w:ind w:left="993" w:firstLine="402"/>
      </w:pPr>
      <w:rPr>
        <w:rFonts w:hint="eastAsia"/>
      </w:rPr>
    </w:lvl>
    <w:lvl w:ilvl="8" w:tentative="0">
      <w:start w:val="1"/>
      <w:numFmt w:val="lowerRoman"/>
      <w:suff w:val="nothing"/>
      <w:lvlText w:val="%9 "/>
      <w:lvlJc w:val="left"/>
      <w:pPr>
        <w:ind w:left="993"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MTIyMzMxMGUyZGRiNjRkMDExZjZjMjcxNWM0YmQifQ=="/>
  </w:docVars>
  <w:rsids>
    <w:rsidRoot w:val="535011CF"/>
    <w:rsid w:val="01215C29"/>
    <w:rsid w:val="0266438F"/>
    <w:rsid w:val="02E46937"/>
    <w:rsid w:val="030B6161"/>
    <w:rsid w:val="07264286"/>
    <w:rsid w:val="07542310"/>
    <w:rsid w:val="07C631FE"/>
    <w:rsid w:val="07DC57B4"/>
    <w:rsid w:val="08607EC0"/>
    <w:rsid w:val="08EA2658"/>
    <w:rsid w:val="09864BCA"/>
    <w:rsid w:val="09F85568"/>
    <w:rsid w:val="0A094D1A"/>
    <w:rsid w:val="0C7236B3"/>
    <w:rsid w:val="0D832131"/>
    <w:rsid w:val="0DB06FB5"/>
    <w:rsid w:val="0E102B78"/>
    <w:rsid w:val="0F062414"/>
    <w:rsid w:val="0F4C6BFF"/>
    <w:rsid w:val="0F6B26ED"/>
    <w:rsid w:val="0F914A2F"/>
    <w:rsid w:val="0FE15608"/>
    <w:rsid w:val="116E69B0"/>
    <w:rsid w:val="121B3756"/>
    <w:rsid w:val="12270675"/>
    <w:rsid w:val="14311A36"/>
    <w:rsid w:val="14485080"/>
    <w:rsid w:val="14F05B14"/>
    <w:rsid w:val="1529088D"/>
    <w:rsid w:val="15D37529"/>
    <w:rsid w:val="160B1746"/>
    <w:rsid w:val="17CC51BB"/>
    <w:rsid w:val="18381EC3"/>
    <w:rsid w:val="184419B1"/>
    <w:rsid w:val="18527E28"/>
    <w:rsid w:val="19D8137C"/>
    <w:rsid w:val="1A445BA3"/>
    <w:rsid w:val="1A50276F"/>
    <w:rsid w:val="1A9A1170"/>
    <w:rsid w:val="1A9F7130"/>
    <w:rsid w:val="1B1F3CE5"/>
    <w:rsid w:val="1B2B7C6F"/>
    <w:rsid w:val="1C681F7B"/>
    <w:rsid w:val="1CDD0E88"/>
    <w:rsid w:val="1D007D32"/>
    <w:rsid w:val="1D093E4D"/>
    <w:rsid w:val="1F196F14"/>
    <w:rsid w:val="1F30765A"/>
    <w:rsid w:val="1F560908"/>
    <w:rsid w:val="1FEB0348"/>
    <w:rsid w:val="20542ED4"/>
    <w:rsid w:val="2155673D"/>
    <w:rsid w:val="217B49B5"/>
    <w:rsid w:val="25334FFC"/>
    <w:rsid w:val="25F702A5"/>
    <w:rsid w:val="26E60F2F"/>
    <w:rsid w:val="272F4E1D"/>
    <w:rsid w:val="2777171F"/>
    <w:rsid w:val="28374BF9"/>
    <w:rsid w:val="283F0D7D"/>
    <w:rsid w:val="29E17ECF"/>
    <w:rsid w:val="29F17A79"/>
    <w:rsid w:val="2BEF7F49"/>
    <w:rsid w:val="2D0142DA"/>
    <w:rsid w:val="2E8A5DA3"/>
    <w:rsid w:val="2EE94141"/>
    <w:rsid w:val="310F3168"/>
    <w:rsid w:val="31CC241B"/>
    <w:rsid w:val="355A7EE2"/>
    <w:rsid w:val="355D1578"/>
    <w:rsid w:val="355D1A20"/>
    <w:rsid w:val="35DA5DE6"/>
    <w:rsid w:val="36F54AC4"/>
    <w:rsid w:val="380541CD"/>
    <w:rsid w:val="38A731BC"/>
    <w:rsid w:val="38AB0E58"/>
    <w:rsid w:val="39227BBC"/>
    <w:rsid w:val="3971572F"/>
    <w:rsid w:val="398E4E00"/>
    <w:rsid w:val="3A4A0CD0"/>
    <w:rsid w:val="3AF143FE"/>
    <w:rsid w:val="3B164258"/>
    <w:rsid w:val="3C074450"/>
    <w:rsid w:val="3C12185C"/>
    <w:rsid w:val="3D8E4D06"/>
    <w:rsid w:val="3EC15C04"/>
    <w:rsid w:val="40F33C83"/>
    <w:rsid w:val="44B65B7C"/>
    <w:rsid w:val="45076938"/>
    <w:rsid w:val="47107A2C"/>
    <w:rsid w:val="47B02837"/>
    <w:rsid w:val="49881965"/>
    <w:rsid w:val="4A413C1F"/>
    <w:rsid w:val="4A797DE0"/>
    <w:rsid w:val="4A9C14F9"/>
    <w:rsid w:val="4B617430"/>
    <w:rsid w:val="4B701D22"/>
    <w:rsid w:val="4C6866A3"/>
    <w:rsid w:val="4EAB4939"/>
    <w:rsid w:val="510219E5"/>
    <w:rsid w:val="51E676C4"/>
    <w:rsid w:val="535011CF"/>
    <w:rsid w:val="551707AE"/>
    <w:rsid w:val="55641C22"/>
    <w:rsid w:val="56353FD8"/>
    <w:rsid w:val="566D3A27"/>
    <w:rsid w:val="56EE7B37"/>
    <w:rsid w:val="57576CA1"/>
    <w:rsid w:val="57582925"/>
    <w:rsid w:val="5B570E5D"/>
    <w:rsid w:val="5DE13458"/>
    <w:rsid w:val="61033D11"/>
    <w:rsid w:val="61B7275D"/>
    <w:rsid w:val="621A0BB0"/>
    <w:rsid w:val="62341F48"/>
    <w:rsid w:val="6242353D"/>
    <w:rsid w:val="63A11840"/>
    <w:rsid w:val="64B36EE9"/>
    <w:rsid w:val="65A63498"/>
    <w:rsid w:val="66095259"/>
    <w:rsid w:val="66732BA5"/>
    <w:rsid w:val="685B4774"/>
    <w:rsid w:val="6A1F439D"/>
    <w:rsid w:val="6A203C5D"/>
    <w:rsid w:val="6A524E2D"/>
    <w:rsid w:val="6B5B0D2F"/>
    <w:rsid w:val="6EFB604C"/>
    <w:rsid w:val="6F2B728F"/>
    <w:rsid w:val="70886160"/>
    <w:rsid w:val="71724535"/>
    <w:rsid w:val="71E3174B"/>
    <w:rsid w:val="72F75E47"/>
    <w:rsid w:val="73F12BC9"/>
    <w:rsid w:val="74354C97"/>
    <w:rsid w:val="74BA710A"/>
    <w:rsid w:val="74BF4D8C"/>
    <w:rsid w:val="76B70D4A"/>
    <w:rsid w:val="77E77D4F"/>
    <w:rsid w:val="7841456F"/>
    <w:rsid w:val="78853563"/>
    <w:rsid w:val="7A916D31"/>
    <w:rsid w:val="7B1B4558"/>
    <w:rsid w:val="7C1B42AF"/>
    <w:rsid w:val="7C9F0813"/>
    <w:rsid w:val="7D13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6" w:lineRule="exact"/>
      <w:ind w:firstLine="600" w:firstLineChars="200"/>
      <w:jc w:val="both"/>
    </w:pPr>
    <w:rPr>
      <w:rFonts w:ascii="仿宋_GB2312" w:hAnsi="仿宋_GB2312" w:eastAsia="仿宋_GB2312" w:cs="Times New Roman"/>
      <w:kern w:val="2"/>
      <w:sz w:val="32"/>
      <w:szCs w:val="32"/>
      <w:lang w:val="en-US" w:eastAsia="zh-CN" w:bidi="ar-SA"/>
    </w:rPr>
  </w:style>
  <w:style w:type="paragraph" w:styleId="2">
    <w:name w:val="heading 1"/>
    <w:basedOn w:val="1"/>
    <w:next w:val="1"/>
    <w:link w:val="22"/>
    <w:autoRedefine/>
    <w:qFormat/>
    <w:uiPriority w:val="0"/>
    <w:pPr>
      <w:keepNext/>
      <w:keepLines/>
      <w:numPr>
        <w:ilvl w:val="0"/>
        <w:numId w:val="1"/>
      </w:numPr>
      <w:tabs>
        <w:tab w:val="left" w:pos="0"/>
      </w:tabs>
      <w:spacing w:line="360" w:lineRule="auto"/>
      <w:jc w:val="center"/>
      <w:outlineLvl w:val="0"/>
    </w:pPr>
    <w:rPr>
      <w:rFonts w:ascii="Calibri" w:hAnsi="Calibri" w:eastAsia="宋体"/>
      <w:b/>
      <w:kern w:val="44"/>
      <w:sz w:val="44"/>
    </w:rPr>
  </w:style>
  <w:style w:type="paragraph" w:styleId="3">
    <w:name w:val="heading 2"/>
    <w:basedOn w:val="1"/>
    <w:next w:val="1"/>
    <w:link w:val="21"/>
    <w:autoRedefine/>
    <w:semiHidden/>
    <w:unhideWhenUsed/>
    <w:qFormat/>
    <w:uiPriority w:val="0"/>
    <w:pPr>
      <w:keepNext/>
      <w:keepLines/>
      <w:numPr>
        <w:ilvl w:val="1"/>
        <w:numId w:val="1"/>
      </w:numPr>
      <w:spacing w:before="260" w:after="260" w:line="412" w:lineRule="auto"/>
      <w:ind w:left="993"/>
      <w:jc w:val="left"/>
      <w:outlineLvl w:val="1"/>
    </w:pPr>
    <w:rPr>
      <w:rFonts w:ascii="Arial" w:hAnsi="Arial" w:eastAsia="宋体" w:cs="Times New Roman"/>
      <w:b/>
      <w:bCs/>
      <w:sz w:val="28"/>
      <w:szCs w:val="32"/>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993" w:firstLine="400"/>
      <w:outlineLvl w:val="2"/>
    </w:pPr>
    <w:rPr>
      <w:b/>
      <w:sz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semiHidden/>
    <w:qFormat/>
    <w:uiPriority w:val="0"/>
    <w:pPr>
      <w:jc w:val="left"/>
    </w:pPr>
    <w:rPr>
      <w:kern w:val="0"/>
      <w:sz w:val="24"/>
      <w:szCs w:val="20"/>
    </w:rPr>
  </w:style>
  <w:style w:type="paragraph" w:styleId="6">
    <w:name w:val="Body Text"/>
    <w:basedOn w:val="1"/>
    <w:next w:val="7"/>
    <w:autoRedefine/>
    <w:qFormat/>
    <w:uiPriority w:val="0"/>
    <w:rPr>
      <w:sz w:val="28"/>
    </w:rPr>
  </w:style>
  <w:style w:type="paragraph" w:styleId="7">
    <w:name w:val="List Bullet 5"/>
    <w:basedOn w:val="1"/>
    <w:autoRedefine/>
    <w:qFormat/>
    <w:uiPriority w:val="0"/>
    <w:pPr>
      <w:numPr>
        <w:ilvl w:val="0"/>
        <w:numId w:val="2"/>
      </w:numPr>
    </w:pPr>
  </w:style>
  <w:style w:type="paragraph" w:styleId="8">
    <w:name w:val="Plain Text"/>
    <w:basedOn w:val="1"/>
    <w:next w:val="1"/>
    <w:autoRedefine/>
    <w:qFormat/>
    <w:uiPriority w:val="0"/>
    <w:rPr>
      <w:rFonts w:ascii="宋体" w:hAnsi="Courier New"/>
    </w:rPr>
  </w:style>
  <w:style w:type="paragraph" w:styleId="9">
    <w:name w:val="Date"/>
    <w:basedOn w:val="1"/>
    <w:next w:val="1"/>
    <w:autoRedefine/>
    <w:qFormat/>
    <w:uiPriority w:val="0"/>
    <w:pPr>
      <w:ind w:leftChars="2500"/>
    </w:pPr>
    <w:rPr>
      <w:rFonts w:eastAsia="仿宋_GB2312"/>
      <w:sz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footnote text"/>
    <w:basedOn w:val="1"/>
    <w:autoRedefine/>
    <w:qFormat/>
    <w:uiPriority w:val="0"/>
    <w:pPr>
      <w:snapToGrid w:val="0"/>
      <w:jc w:val="left"/>
    </w:pPr>
    <w:rPr>
      <w:sz w:val="18"/>
    </w:rPr>
  </w:style>
  <w:style w:type="paragraph" w:styleId="14">
    <w:name w:val="toc 2"/>
    <w:basedOn w:val="1"/>
    <w:next w:val="1"/>
    <w:autoRedefine/>
    <w:qFormat/>
    <w:uiPriority w:val="0"/>
    <w:pPr>
      <w:ind w:left="420" w:leftChars="200"/>
    </w:pPr>
  </w:style>
  <w:style w:type="table" w:styleId="16">
    <w:name w:val="Table Grid"/>
    <w:basedOn w:val="15"/>
    <w:autoRedefine/>
    <w:qFormat/>
    <w:uiPriority w:val="39"/>
    <w:rPr>
      <w:rFonts w:ascii="Times New Roman" w:hAnsi="Times New Roman" w:eastAsia="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blStylePr w:type="firstRow">
      <w:tblPr/>
      <w:trPr>
        <w:tblHeader/>
      </w:trPr>
      <w:tcPr>
        <w:shd w:val="clear" w:color="auto" w:fill="D8D8D8" w:themeFill="background1" w:themeFillShade="D9"/>
      </w:tcPr>
    </w:tblStylePr>
  </w:style>
  <w:style w:type="paragraph" w:customStyle="1" w:styleId="18">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9">
    <w:name w:val="Default"/>
    <w:basedOn w:val="20"/>
    <w:next w:val="1"/>
    <w:autoRedefine/>
    <w:qFormat/>
    <w:uiPriority w:val="0"/>
    <w:pPr>
      <w:autoSpaceDE w:val="0"/>
      <w:autoSpaceDN w:val="0"/>
      <w:jc w:val="left"/>
    </w:pPr>
    <w:rPr>
      <w:rFonts w:hint="eastAsia" w:ascii="宋体" w:eastAsia="宋体" w:cs="Times New Roman"/>
      <w:color w:val="000000"/>
      <w:kern w:val="0"/>
      <w:sz w:val="24"/>
    </w:rPr>
  </w:style>
  <w:style w:type="paragraph" w:customStyle="1" w:styleId="2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21">
    <w:name w:val="标题 2 Char"/>
    <w:link w:val="3"/>
    <w:autoRedefine/>
    <w:qFormat/>
    <w:locked/>
    <w:uiPriority w:val="99"/>
    <w:rPr>
      <w:rFonts w:ascii="Arial" w:hAnsi="Arial" w:eastAsia="宋体" w:cs="Times New Roman"/>
      <w:b/>
      <w:bCs/>
      <w:sz w:val="28"/>
      <w:szCs w:val="32"/>
    </w:rPr>
  </w:style>
  <w:style w:type="character" w:customStyle="1" w:styleId="22">
    <w:name w:val="标题 1 Char"/>
    <w:link w:val="2"/>
    <w:autoRedefine/>
    <w:qFormat/>
    <w:locked/>
    <w:uiPriority w:val="99"/>
    <w:rPr>
      <w:rFonts w:ascii="Calibri" w:hAnsi="Calibri" w:eastAsia="宋体"/>
      <w:b/>
      <w:kern w:val="44"/>
      <w:sz w:val="44"/>
      <w:szCs w:val="24"/>
      <w:lang w:bidi="ar-SA"/>
    </w:rPr>
  </w:style>
  <w:style w:type="paragraph" w:customStyle="1" w:styleId="23">
    <w:name w:val="环保表内字（小五）"/>
    <w:basedOn w:val="1"/>
    <w:autoRedefine/>
    <w:qFormat/>
    <w:uiPriority w:val="0"/>
    <w:pPr>
      <w:adjustRightInd w:val="0"/>
      <w:snapToGrid w:val="0"/>
      <w:jc w:val="center"/>
    </w:pPr>
    <w:rPr>
      <w:rFonts w:ascii="宋体" w:hAnsi="宋体"/>
      <w:snapToGrid w:val="0"/>
      <w:sz w:val="18"/>
      <w:szCs w:val="20"/>
    </w:rPr>
  </w:style>
  <w:style w:type="paragraph" w:customStyle="1" w:styleId="24">
    <w:name w:val="正文文本1"/>
    <w:basedOn w:val="1"/>
    <w:autoRedefine/>
    <w:qFormat/>
    <w:uiPriority w:val="0"/>
    <w:pPr>
      <w:spacing w:line="500" w:lineRule="exact"/>
    </w:pPr>
    <w:rPr>
      <w:rFonts w:ascii="宋体" w:hAnsi="宋体"/>
      <w:sz w:val="28"/>
    </w:rPr>
  </w:style>
  <w:style w:type="paragraph" w:customStyle="1" w:styleId="25">
    <w:name w:val="环保-正文内容"/>
    <w:basedOn w:val="1"/>
    <w:next w:val="1"/>
    <w:autoRedefine/>
    <w:qFormat/>
    <w:uiPriority w:val="0"/>
    <w:pPr>
      <w:adjustRightInd w:val="0"/>
      <w:snapToGrid w:val="0"/>
      <w:spacing w:line="360" w:lineRule="auto"/>
      <w:ind w:firstLine="200" w:firstLineChars="200"/>
      <w:jc w:val="both"/>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2620</Words>
  <Characters>2832</Characters>
  <Lines>0</Lines>
  <Paragraphs>0</Paragraphs>
  <TotalTime>42</TotalTime>
  <ScaleCrop>false</ScaleCrop>
  <LinksUpToDate>false</LinksUpToDate>
  <CharactersWithSpaces>2845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2022-08-19T03:38:00Z</dcterms:created>
  <dc:creator>优印图文1</dc:creator>
  <cp:lastModifiedBy>W琪</cp:lastModifiedBy>
  <cp:lastPrinted>2025-07-25T00:55:00Z</cp:lastPrinted>
  <dcterms:modified xsi:type="dcterms:W3CDTF">2025-07-25T02:56:23Z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7F77CB55856448BCB3775EC952330F0D_13</vt:lpwstr>
  </property>
  <property fmtid="{D5CDD505-2E9C-101B-9397-08002B2CF9AE}" pid="4" name="KSOTemplateDocerSaveRecord">
    <vt:lpwstr>eyJoZGlkIjoiMDc5MzViOWI5ODMxNmU1MjFmZjY5NjVlZTE5M2Q2YjUiLCJ1c2VySWQiOiIzNDEzNjc4NTYifQ==</vt:lpwstr>
  </property>
</Properties>
</file>