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7</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5EAF52FF">
      <w:pPr>
        <w:pStyle w:val="5"/>
        <w:ind w:left="0" w:leftChars="0" w:firstLine="0" w:firstLineChars="0"/>
        <w:jc w:val="center"/>
        <w:rPr>
          <w:rFonts w:hint="eastAsia" w:ascii="方正小标宋简体" w:hAnsi="方正小标宋简体" w:eastAsia="方正小标宋简体" w:cs="方正小标宋简体"/>
          <w:b w:val="0"/>
          <w:bCs w:val="0"/>
          <w:w w:val="90"/>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关于中国石油吉林石化公司化肥厂</w:t>
      </w:r>
    </w:p>
    <w:p w14:paraId="5C42C529">
      <w:pPr>
        <w:pStyle w:val="5"/>
        <w:ind w:left="0" w:leftChars="0" w:firstLine="0" w:firstLineChars="0"/>
        <w:jc w:val="center"/>
        <w:rPr>
          <w:rFonts w:hint="eastAsia" w:ascii="方正小标宋简体" w:hAnsi="方正小标宋简体" w:eastAsia="方正小标宋简体" w:cs="方正小标宋简体"/>
          <w:b w:val="0"/>
          <w:bCs w:val="0"/>
          <w:w w:val="90"/>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45万吨/年气体二氧化碳回收项目（二期）</w:t>
      </w:r>
    </w:p>
    <w:p w14:paraId="44FAB312">
      <w:pPr>
        <w:pStyle w:val="5"/>
        <w:ind w:left="0" w:leftChars="0" w:firstLine="0" w:firstLineChars="0"/>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rPr>
        <w:t>环境影响报告表的批复</w:t>
      </w:r>
    </w:p>
    <w:p w14:paraId="757D831E">
      <w:pPr>
        <w:pStyle w:val="5"/>
        <w:ind w:left="0" w:leftChars="0" w:firstLine="0" w:firstLineChars="0"/>
        <w:jc w:val="center"/>
        <w:rPr>
          <w:rFonts w:hint="eastAsia" w:ascii="方正小标宋简体" w:hAnsi="方正小标宋简体" w:eastAsia="方正小标宋简体" w:cs="方正小标宋简体"/>
          <w:b w:val="0"/>
          <w:bCs w:val="0"/>
          <w:w w:val="90"/>
          <w:sz w:val="44"/>
          <w:szCs w:val="44"/>
          <w:lang w:val="en-US" w:eastAsia="zh-CN"/>
        </w:rPr>
      </w:pPr>
    </w:p>
    <w:p w14:paraId="6D12A0B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中国石油天然气股份有限公司吉林石化分公司： </w:t>
      </w:r>
    </w:p>
    <w:p w14:paraId="4EF8D77C">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你单位《关于对〈中国石油吉林石化公司化肥厂45万吨/年气体二氧化碳回收项目（二期）环境影响报告表〉审查的申请》和委托</w:t>
      </w:r>
      <w:r>
        <w:rPr>
          <w:rFonts w:hint="eastAsia" w:cs="仿宋_GB2312"/>
          <w:sz w:val="32"/>
          <w:szCs w:val="32"/>
          <w:lang w:val="en-US" w:eastAsia="zh-CN"/>
        </w:rPr>
        <w:t>中国昆仑工程</w:t>
      </w:r>
      <w:r>
        <w:rPr>
          <w:rFonts w:hint="eastAsia" w:ascii="仿宋_GB2312" w:hAnsi="仿宋_GB2312" w:eastAsia="仿宋_GB2312" w:cs="仿宋_GB2312"/>
          <w:sz w:val="32"/>
          <w:szCs w:val="32"/>
          <w:lang w:val="en-US" w:eastAsia="zh-CN"/>
        </w:rPr>
        <w:t>有限公司编制的《中国石油吉林石化公司化肥厂45万吨/年气体二氧化碳回收项目（二期）环境影响报告表》（报批版）收悉。经研究，现批复如下</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 xml:space="preserve">　 </w:t>
      </w:r>
    </w:p>
    <w:p w14:paraId="2A6B17BF">
      <w:pPr>
        <w:keepNext w:val="0"/>
        <w:keepLines w:val="0"/>
        <w:pageBreakBefore w:val="0"/>
        <w:widowControl/>
        <w:numPr>
          <w:ilvl w:val="0"/>
          <w:numId w:val="3"/>
        </w:numPr>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本项目</w:t>
      </w:r>
      <w:r>
        <w:rPr>
          <w:rFonts w:hint="eastAsia" w:cs="仿宋_GB2312"/>
          <w:color w:val="auto"/>
          <w:kern w:val="2"/>
          <w:sz w:val="32"/>
          <w:szCs w:val="32"/>
          <w:lang w:val="en-US" w:eastAsia="zh-CN" w:bidi="ar-SA"/>
        </w:rPr>
        <w:t>为扩建项目，建设地点</w:t>
      </w:r>
      <w:r>
        <w:rPr>
          <w:rFonts w:hint="eastAsia" w:ascii="仿宋_GB2312" w:hAnsi="仿宋_GB2312" w:eastAsia="仿宋_GB2312" w:cs="仿宋_GB2312"/>
          <w:color w:val="auto"/>
          <w:kern w:val="2"/>
          <w:sz w:val="32"/>
          <w:szCs w:val="32"/>
          <w:lang w:val="en-US" w:eastAsia="zh-CN" w:bidi="ar-SA"/>
        </w:rPr>
        <w:t>位于中国石油吉林石化公司化肥厂现有厂区预留空地</w:t>
      </w:r>
      <w:r>
        <w:rPr>
          <w:rFonts w:hint="eastAsia" w:cs="仿宋_GB2312"/>
          <w:color w:val="auto"/>
          <w:kern w:val="2"/>
          <w:sz w:val="32"/>
          <w:szCs w:val="32"/>
          <w:lang w:val="en-US" w:eastAsia="zh-CN" w:bidi="ar-SA"/>
        </w:rPr>
        <w:t>。该企业</w:t>
      </w:r>
      <w:r>
        <w:rPr>
          <w:rFonts w:hint="eastAsia" w:ascii="仿宋_GB2312" w:hAnsi="仿宋_GB2312" w:eastAsia="仿宋_GB2312" w:cs="仿宋_GB2312"/>
          <w:color w:val="auto"/>
          <w:kern w:val="2"/>
          <w:sz w:val="32"/>
          <w:szCs w:val="32"/>
          <w:lang w:val="en-US" w:eastAsia="zh-CN" w:bidi="ar-SA"/>
        </w:rPr>
        <w:t>于2022年12月8日取得《</w:t>
      </w:r>
      <w:r>
        <w:rPr>
          <w:rFonts w:hint="default" w:ascii="仿宋_GB2312" w:hAnsi="仿宋_GB2312" w:eastAsia="仿宋_GB2312" w:cs="仿宋_GB2312"/>
          <w:color w:val="auto"/>
          <w:kern w:val="2"/>
          <w:sz w:val="32"/>
          <w:szCs w:val="32"/>
          <w:lang w:val="en-US" w:eastAsia="zh-CN" w:bidi="ar-SA"/>
        </w:rPr>
        <w:t>中国石油吉林石化公司化肥</w:t>
      </w:r>
      <w:r>
        <w:rPr>
          <w:rFonts w:hint="eastAsia" w:ascii="仿宋_GB2312" w:hAnsi="仿宋_GB2312" w:eastAsia="仿宋_GB2312" w:cs="仿宋_GB2312"/>
          <w:color w:val="auto"/>
          <w:kern w:val="2"/>
          <w:sz w:val="32"/>
          <w:szCs w:val="32"/>
          <w:lang w:val="en-US" w:eastAsia="zh-CN" w:bidi="ar-SA"/>
        </w:rPr>
        <w:t>厂35万吨/年气体二氧化碳回收项目（一期）环境影响报告表》</w:t>
      </w:r>
      <w:r>
        <w:rPr>
          <w:rFonts w:hint="eastAsia" w:cs="仿宋_GB2312"/>
          <w:color w:val="auto"/>
          <w:kern w:val="2"/>
          <w:sz w:val="32"/>
          <w:szCs w:val="32"/>
          <w:lang w:val="en-US" w:eastAsia="zh-CN" w:bidi="ar-SA"/>
        </w:rPr>
        <w:t>批复文件</w:t>
      </w:r>
      <w:r>
        <w:rPr>
          <w:rFonts w:hint="eastAsia" w:ascii="仿宋_GB2312" w:hAnsi="仿宋_GB2312" w:eastAsia="仿宋_GB2312" w:cs="仿宋_GB2312"/>
          <w:color w:val="auto"/>
          <w:kern w:val="2"/>
          <w:sz w:val="32"/>
          <w:szCs w:val="32"/>
          <w:lang w:val="en-US" w:eastAsia="zh-CN" w:bidi="ar-SA"/>
        </w:rPr>
        <w:t>，文号为吉环审（表）字</w:t>
      </w:r>
      <w:r>
        <w:rPr>
          <w:rFonts w:hint="eastAsia" w:cs="仿宋_GB2312"/>
          <w:color w:val="auto"/>
          <w:kern w:val="2"/>
          <w:sz w:val="32"/>
          <w:szCs w:val="32"/>
          <w:lang w:val="en-US" w:eastAsia="zh-CN" w:bidi="ar-SA"/>
        </w:rPr>
        <w:t>〔2022〕68号</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两期项目同址建设，本项目建成后年产中、高浓度气态二氧化碳合计45.122</w:t>
      </w:r>
      <w:r>
        <w:rPr>
          <w:rFonts w:hint="eastAsia" w:ascii="仿宋_GB2312" w:hAnsi="仿宋_GB2312" w:eastAsia="仿宋_GB2312" w:cs="仿宋_GB2312"/>
          <w:sz w:val="32"/>
          <w:szCs w:val="32"/>
          <w:lang w:val="en-US" w:eastAsia="zh-CN"/>
        </w:rPr>
        <w:t>万吨</w:t>
      </w:r>
      <w:r>
        <w:rPr>
          <w:rFonts w:hint="eastAsia" w:cs="仿宋_GB2312"/>
          <w:color w:val="auto"/>
          <w:kern w:val="2"/>
          <w:sz w:val="32"/>
          <w:szCs w:val="32"/>
          <w:lang w:val="en-US" w:eastAsia="zh-CN" w:bidi="ar-SA"/>
        </w:rPr>
        <w:t>，两期总设计规模为约80万吨/年气态二氧化碳。</w:t>
      </w:r>
    </w:p>
    <w:p w14:paraId="4399D072">
      <w:pPr>
        <w:keepNext w:val="0"/>
        <w:keepLines w:val="0"/>
        <w:pageBreakBefore w:val="0"/>
        <w:widowControl/>
        <w:numPr>
          <w:ilvl w:val="0"/>
          <w:numId w:val="0"/>
        </w:numPr>
        <w:suppressLineNumbers w:val="0"/>
        <w:kinsoku/>
        <w:wordWrap/>
        <w:overflowPunct/>
        <w:topLinePunct w:val="0"/>
        <w:bidi w:val="0"/>
        <w:snapToGrid/>
        <w:spacing w:line="4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主体工程：原料单元，沥青造气装置区新建原料压缩机厂房，占地面积265.44m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；二氧化碳PSA单元</w:t>
      </w:r>
      <w:r>
        <w:rPr>
          <w:rFonts w:hint="eastAsia" w:cs="仿宋_GB2312"/>
          <w:color w:val="auto"/>
          <w:kern w:val="2"/>
          <w:sz w:val="32"/>
          <w:szCs w:val="32"/>
          <w:lang w:val="en-US" w:eastAsia="zh-CN" w:bidi="ar-SA"/>
        </w:rPr>
        <w:t>及真空泵房，占地面积1325m</w:t>
      </w:r>
      <w:r>
        <w:rPr>
          <w:rFonts w:hint="eastAsia" w:cs="仿宋_GB2312"/>
          <w:color w:val="auto"/>
          <w:kern w:val="2"/>
          <w:sz w:val="32"/>
          <w:szCs w:val="32"/>
          <w:vertAlign w:val="superscript"/>
          <w:lang w:val="en-US" w:eastAsia="zh-CN" w:bidi="ar-SA"/>
        </w:rPr>
        <w:t>2</w:t>
      </w:r>
      <w:r>
        <w:rPr>
          <w:rFonts w:hint="eastAsia" w:cs="仿宋_GB2312"/>
          <w:color w:val="auto"/>
          <w:kern w:val="2"/>
          <w:sz w:val="32"/>
          <w:szCs w:val="32"/>
          <w:lang w:val="en-US" w:eastAsia="zh-CN" w:bidi="ar-SA"/>
        </w:rPr>
        <w:t>，共10台PSA吸附器；压缩单元，新建产品压缩机厂房，占地面积1933.56m</w:t>
      </w:r>
      <w:r>
        <w:rPr>
          <w:rFonts w:hint="eastAsia" w:cs="仿宋_GB2312"/>
          <w:color w:val="auto"/>
          <w:kern w:val="2"/>
          <w:sz w:val="32"/>
          <w:szCs w:val="32"/>
          <w:vertAlign w:val="superscript"/>
          <w:lang w:val="en-US" w:eastAsia="zh-CN" w:bidi="ar-SA"/>
        </w:rPr>
        <w:t>2</w:t>
      </w:r>
      <w:r>
        <w:rPr>
          <w:rFonts w:hint="eastAsia" w:cs="仿宋_GB2312"/>
          <w:color w:val="auto"/>
          <w:kern w:val="2"/>
          <w:sz w:val="32"/>
          <w:szCs w:val="32"/>
          <w:lang w:val="en-US" w:eastAsia="zh-CN" w:bidi="ar-SA"/>
        </w:rPr>
        <w:t>，共3台压缩机。</w:t>
      </w:r>
      <w:r>
        <w:rPr>
          <w:rFonts w:hint="eastAsia" w:ascii="仿宋_GB2312" w:hAnsi="仿宋_GB2312" w:eastAsia="仿宋_GB2312" w:cs="仿宋_GB2312"/>
          <w:color w:val="auto"/>
          <w:kern w:val="2"/>
          <w:sz w:val="32"/>
          <w:szCs w:val="32"/>
          <w:lang w:val="en-US" w:eastAsia="zh-CN" w:bidi="ar-SA"/>
        </w:rPr>
        <w:t>储运工程:</w:t>
      </w:r>
      <w:r>
        <w:rPr>
          <w:rFonts w:hint="eastAsia" w:cs="仿宋_GB2312"/>
          <w:color w:val="auto"/>
          <w:kern w:val="2"/>
          <w:sz w:val="32"/>
          <w:szCs w:val="32"/>
          <w:lang w:val="en-US" w:eastAsia="zh-CN" w:bidi="ar-SA"/>
        </w:rPr>
        <w:t>新建2条</w:t>
      </w:r>
      <w:r>
        <w:rPr>
          <w:rFonts w:hint="eastAsia" w:ascii="仿宋_GB2312" w:hAnsi="仿宋_GB2312" w:eastAsia="仿宋_GB2312" w:cs="仿宋_GB2312"/>
          <w:color w:val="auto"/>
          <w:kern w:val="2"/>
          <w:sz w:val="32"/>
          <w:szCs w:val="32"/>
          <w:lang w:val="en-US" w:eastAsia="zh-CN" w:bidi="ar-SA"/>
        </w:rPr>
        <w:t>沥青造气装置至二氧化碳</w:t>
      </w:r>
      <w:r>
        <w:rPr>
          <w:rFonts w:hint="eastAsia" w:cs="仿宋_GB2312"/>
          <w:color w:val="auto"/>
          <w:kern w:val="2"/>
          <w:sz w:val="32"/>
          <w:szCs w:val="32"/>
          <w:lang w:val="en-US" w:eastAsia="zh-CN" w:bidi="ar-SA"/>
        </w:rPr>
        <w:t>装置的</w:t>
      </w:r>
      <w:r>
        <w:rPr>
          <w:rFonts w:hint="eastAsia" w:ascii="仿宋_GB2312" w:hAnsi="仿宋_GB2312" w:eastAsia="仿宋_GB2312" w:cs="仿宋_GB2312"/>
          <w:color w:val="auto"/>
          <w:kern w:val="2"/>
          <w:sz w:val="32"/>
          <w:szCs w:val="32"/>
          <w:lang w:val="en-US" w:eastAsia="zh-CN" w:bidi="ar-SA"/>
        </w:rPr>
        <w:t>CO</w:t>
      </w:r>
      <w:r>
        <w:rPr>
          <w:rFonts w:hint="eastAsia" w:ascii="仿宋_GB2312" w:hAnsi="仿宋_GB2312" w:eastAsia="仿宋_GB2312" w:cs="仿宋_GB2312"/>
          <w:color w:val="auto"/>
          <w:kern w:val="2"/>
          <w:sz w:val="32"/>
          <w:szCs w:val="32"/>
          <w:vertAlign w:val="subscript"/>
          <w:lang w:val="en-US" w:eastAsia="zh-CN" w:bidi="ar-SA"/>
        </w:rPr>
        <w:t>2</w:t>
      </w:r>
      <w:r>
        <w:rPr>
          <w:rFonts w:hint="eastAsia" w:ascii="仿宋_GB2312" w:hAnsi="仿宋_GB2312" w:eastAsia="仿宋_GB2312" w:cs="仿宋_GB2312"/>
          <w:color w:val="auto"/>
          <w:kern w:val="2"/>
          <w:sz w:val="32"/>
          <w:szCs w:val="32"/>
          <w:lang w:val="en-US" w:eastAsia="zh-CN" w:bidi="ar-SA"/>
        </w:rPr>
        <w:t>中</w:t>
      </w:r>
      <w:r>
        <w:rPr>
          <w:rFonts w:hint="eastAsia" w:cs="仿宋_GB2312"/>
          <w:color w:val="auto"/>
          <w:kern w:val="2"/>
          <w:sz w:val="32"/>
          <w:szCs w:val="32"/>
          <w:lang w:val="en-US" w:eastAsia="zh-CN" w:bidi="ar-SA"/>
        </w:rPr>
        <w:t>、高</w:t>
      </w:r>
      <w:r>
        <w:rPr>
          <w:rFonts w:hint="eastAsia" w:ascii="仿宋_GB2312" w:hAnsi="仿宋_GB2312" w:eastAsia="仿宋_GB2312" w:cs="仿宋_GB2312"/>
          <w:color w:val="auto"/>
          <w:kern w:val="2"/>
          <w:sz w:val="32"/>
          <w:szCs w:val="32"/>
          <w:lang w:val="en-US" w:eastAsia="zh-CN" w:bidi="ar-SA"/>
        </w:rPr>
        <w:t>浓度原料气</w:t>
      </w:r>
      <w:r>
        <w:rPr>
          <w:rFonts w:hint="eastAsia" w:cs="仿宋_GB2312"/>
          <w:color w:val="auto"/>
          <w:kern w:val="2"/>
          <w:sz w:val="32"/>
          <w:szCs w:val="32"/>
          <w:lang w:val="en-US" w:eastAsia="zh-CN" w:bidi="ar-SA"/>
        </w:rPr>
        <w:t>管道</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均为</w:t>
      </w:r>
      <w:r>
        <w:rPr>
          <w:rFonts w:hint="eastAsia" w:ascii="仿宋_GB2312" w:hAnsi="仿宋_GB2312" w:eastAsia="仿宋_GB2312" w:cs="仿宋_GB2312"/>
          <w:color w:val="auto"/>
          <w:kern w:val="2"/>
          <w:sz w:val="32"/>
          <w:szCs w:val="32"/>
          <w:lang w:val="en-US" w:eastAsia="zh-CN" w:bidi="ar-SA"/>
        </w:rPr>
        <w:t>1690m</w:t>
      </w:r>
      <w:r>
        <w:rPr>
          <w:rFonts w:hint="eastAsia" w:cs="仿宋_GB2312"/>
          <w:color w:val="auto"/>
          <w:kern w:val="2"/>
          <w:sz w:val="32"/>
          <w:szCs w:val="32"/>
          <w:lang w:val="en-US" w:eastAsia="zh-CN" w:bidi="ar-SA"/>
        </w:rPr>
        <w:t>。公用工程、辅助工程依托现有。</w:t>
      </w:r>
      <w:r>
        <w:rPr>
          <w:rFonts w:hint="eastAsia" w:ascii="仿宋_GB2312" w:hAnsi="仿宋_GB2312" w:eastAsia="仿宋_GB2312" w:cs="仿宋_GB2312"/>
          <w:color w:val="auto"/>
          <w:kern w:val="2"/>
          <w:sz w:val="32"/>
          <w:szCs w:val="32"/>
          <w:highlight w:val="none"/>
          <w:vertAlign w:val="baseline"/>
          <w:lang w:val="en-US" w:eastAsia="zh-CN" w:bidi="ar-SA"/>
        </w:rPr>
        <w:t>本项目总占地面</w:t>
      </w:r>
      <w:r>
        <w:rPr>
          <w:rFonts w:hint="eastAsia" w:cs="仿宋_GB2312"/>
          <w:color w:val="auto"/>
          <w:kern w:val="2"/>
          <w:sz w:val="32"/>
          <w:szCs w:val="32"/>
          <w:lang w:val="en-US" w:eastAsia="zh-CN" w:bidi="ar-SA"/>
        </w:rPr>
        <w:t>积为8981.56</w:t>
      </w:r>
      <w:r>
        <w:rPr>
          <w:rFonts w:hint="eastAsia" w:ascii="仿宋_GB2312" w:hAnsi="仿宋_GB2312" w:eastAsia="仿宋_GB2312" w:cs="仿宋_GB2312"/>
          <w:color w:val="auto"/>
          <w:kern w:val="2"/>
          <w:sz w:val="32"/>
          <w:szCs w:val="32"/>
          <w:highlight w:val="none"/>
          <w:vertAlign w:val="baseline"/>
          <w:lang w:val="en-US" w:eastAsia="zh-CN" w:bidi="ar-SA"/>
        </w:rPr>
        <w:t>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color w:val="auto"/>
          <w:kern w:val="2"/>
          <w:sz w:val="32"/>
          <w:szCs w:val="32"/>
          <w:highlight w:val="none"/>
          <w:vertAlign w:val="baseline"/>
          <w:lang w:val="en-US" w:eastAsia="zh-CN" w:bidi="ar-SA"/>
        </w:rPr>
        <w:t>，</w:t>
      </w:r>
      <w:r>
        <w:rPr>
          <w:rFonts w:hint="eastAsia" w:cs="仿宋_GB2312"/>
          <w:color w:val="auto"/>
          <w:kern w:val="2"/>
          <w:sz w:val="32"/>
          <w:szCs w:val="32"/>
          <w:lang w:val="en-US" w:eastAsia="zh-CN" w:bidi="ar-SA"/>
        </w:rPr>
        <w:t>本项目</w:t>
      </w:r>
      <w:r>
        <w:rPr>
          <w:rFonts w:hint="eastAsia" w:ascii="仿宋_GB2312" w:hAnsi="仿宋_GB2312" w:eastAsia="仿宋_GB2312" w:cs="仿宋_GB2312"/>
          <w:color w:val="auto"/>
          <w:kern w:val="2"/>
          <w:sz w:val="32"/>
          <w:szCs w:val="32"/>
          <w:lang w:val="en-US" w:eastAsia="zh-CN" w:bidi="ar-SA"/>
        </w:rPr>
        <w:t>劳动定员</w:t>
      </w:r>
      <w:r>
        <w:rPr>
          <w:rFonts w:hint="eastAsia" w:cs="仿宋_GB2312"/>
          <w:color w:val="auto"/>
          <w:kern w:val="2"/>
          <w:sz w:val="32"/>
          <w:szCs w:val="32"/>
          <w:lang w:val="en-US" w:eastAsia="zh-CN" w:bidi="ar-SA"/>
        </w:rPr>
        <w:t>28</w:t>
      </w:r>
      <w:r>
        <w:rPr>
          <w:rFonts w:hint="eastAsia" w:ascii="仿宋_GB2312" w:hAnsi="仿宋_GB2312" w:eastAsia="仿宋_GB2312" w:cs="仿宋_GB2312"/>
          <w:color w:val="auto"/>
          <w:kern w:val="2"/>
          <w:sz w:val="32"/>
          <w:szCs w:val="32"/>
          <w:lang w:val="en-US" w:eastAsia="zh-CN" w:bidi="ar-SA"/>
        </w:rPr>
        <w:t>人，</w:t>
      </w:r>
      <w:r>
        <w:rPr>
          <w:rFonts w:hint="eastAsia" w:cs="仿宋_GB2312"/>
          <w:color w:val="auto"/>
          <w:kern w:val="2"/>
          <w:sz w:val="32"/>
          <w:szCs w:val="32"/>
          <w:lang w:val="en-US" w:eastAsia="zh-CN" w:bidi="ar-SA"/>
        </w:rPr>
        <w:t>两期共用，</w:t>
      </w:r>
      <w:r>
        <w:rPr>
          <w:rFonts w:hint="eastAsia" w:ascii="仿宋_GB2312" w:hAnsi="仿宋_GB2312" w:eastAsia="仿宋_GB2312" w:cs="仿宋_GB2312"/>
          <w:color w:val="auto"/>
          <w:kern w:val="2"/>
          <w:sz w:val="32"/>
          <w:szCs w:val="32"/>
          <w:lang w:val="en-US" w:eastAsia="zh-CN" w:bidi="ar-SA"/>
        </w:rPr>
        <w:t>四班二运工作制</w:t>
      </w:r>
      <w:r>
        <w:rPr>
          <w:rFonts w:hint="eastAsia" w:ascii="仿宋_GB2312" w:hAnsi="仿宋_GB2312" w:eastAsia="仿宋_GB2312" w:cs="仿宋_GB2312"/>
          <w:sz w:val="32"/>
          <w:szCs w:val="32"/>
          <w:lang w:val="en-US" w:eastAsia="zh-CN"/>
        </w:rPr>
        <w:t>，年工作</w:t>
      </w:r>
      <w:r>
        <w:rPr>
          <w:rFonts w:hint="eastAsia" w:cs="仿宋_GB2312"/>
          <w:sz w:val="32"/>
          <w:szCs w:val="32"/>
          <w:lang w:val="en-US" w:eastAsia="zh-CN"/>
        </w:rPr>
        <w:t>333</w:t>
      </w: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color w:val="auto"/>
          <w:kern w:val="2"/>
          <w:sz w:val="32"/>
          <w:szCs w:val="32"/>
          <w:lang w:val="en-US" w:eastAsia="zh-CN" w:bidi="ar-SA"/>
        </w:rPr>
        <w:t>。本项目无生产用热，厂房供暖依托化肥厂供热管网。项目总投资17200.22万元，其中环保投资</w:t>
      </w:r>
      <w:r>
        <w:rPr>
          <w:rFonts w:hint="eastAsia" w:cs="仿宋_GB2312"/>
          <w:color w:val="auto"/>
          <w:kern w:val="2"/>
          <w:sz w:val="32"/>
          <w:szCs w:val="32"/>
          <w:lang w:val="en-US" w:eastAsia="zh-CN" w:bidi="ar-SA"/>
        </w:rPr>
        <w:t>65</w:t>
      </w:r>
      <w:r>
        <w:rPr>
          <w:rFonts w:hint="eastAsia"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sz w:val="32"/>
          <w:szCs w:val="32"/>
          <w:lang w:val="en-US" w:eastAsia="zh-CN"/>
        </w:rPr>
        <w:t>根</w:t>
      </w:r>
      <w:r>
        <w:rPr>
          <w:rFonts w:hint="eastAsia" w:ascii="仿宋_GB2312" w:hAnsi="仿宋_GB2312" w:eastAsia="仿宋_GB2312" w:cs="仿宋_GB2312"/>
          <w:color w:val="auto"/>
          <w:sz w:val="32"/>
          <w:szCs w:val="32"/>
        </w:rPr>
        <w:t>据环境影响报告表评价结论和</w:t>
      </w:r>
      <w:r>
        <w:rPr>
          <w:rFonts w:hint="eastAsia" w:ascii="仿宋_GB2312" w:hAnsi="仿宋_GB2312" w:eastAsia="仿宋_GB2312" w:cs="仿宋_GB2312"/>
          <w:color w:val="auto"/>
          <w:sz w:val="32"/>
          <w:szCs w:val="32"/>
          <w:lang w:eastAsia="zh-CN"/>
        </w:rPr>
        <w:t>技术评估</w:t>
      </w:r>
      <w:r>
        <w:rPr>
          <w:rFonts w:hint="eastAsia" w:ascii="仿宋_GB2312" w:hAnsi="仿宋_GB2312" w:eastAsia="仿宋_GB2312" w:cs="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2"/>
          <w:sz w:val="32"/>
          <w:szCs w:val="32"/>
          <w:lang w:val="en-US" w:eastAsia="zh-CN" w:bidi="ar-SA"/>
        </w:rPr>
        <w:t>、加强建设期环境管理。生活污水经吉化污水处理厂处理达标后排入松花江。</w:t>
      </w:r>
      <w:r>
        <w:rPr>
          <w:rFonts w:hint="eastAsia" w:ascii="仿宋_GB2312" w:hAnsi="仿宋_GB2312" w:cs="仿宋_GB2312"/>
          <w:color w:val="auto"/>
          <w:kern w:val="2"/>
          <w:sz w:val="32"/>
          <w:szCs w:val="32"/>
          <w:lang w:val="en-US" w:eastAsia="zh-CN" w:bidi="ar-SA"/>
        </w:rPr>
        <w:t>设备冲洗废水和</w:t>
      </w:r>
      <w:r>
        <w:rPr>
          <w:rFonts w:hint="eastAsia" w:ascii="仿宋_GB2312" w:hAnsi="仿宋_GB2312" w:eastAsia="仿宋_GB2312" w:cs="仿宋_GB2312"/>
          <w:color w:val="auto"/>
          <w:kern w:val="2"/>
          <w:sz w:val="32"/>
          <w:szCs w:val="32"/>
          <w:lang w:val="en-US" w:eastAsia="zh-CN" w:bidi="ar-SA"/>
        </w:rPr>
        <w:t>试压废水</w:t>
      </w:r>
      <w:r>
        <w:rPr>
          <w:rFonts w:hint="eastAsia" w:ascii="仿宋_GB2312" w:hAnsi="仿宋_GB2312" w:cs="仿宋_GB2312"/>
          <w:color w:val="auto"/>
          <w:kern w:val="2"/>
          <w:sz w:val="32"/>
          <w:szCs w:val="32"/>
          <w:lang w:val="en-US" w:eastAsia="zh-CN" w:bidi="ar-SA"/>
        </w:rPr>
        <w:t>等</w:t>
      </w:r>
      <w:r>
        <w:rPr>
          <w:rFonts w:hint="eastAsia" w:ascii="仿宋_GB2312" w:hAnsi="仿宋_GB2312" w:eastAsia="仿宋_GB2312" w:cs="仿宋_GB2312"/>
          <w:color w:val="auto"/>
          <w:kern w:val="2"/>
          <w:sz w:val="32"/>
          <w:szCs w:val="32"/>
          <w:lang w:val="en-US" w:eastAsia="zh-CN" w:bidi="ar-SA"/>
        </w:rPr>
        <w:t>经简易沉淀后</w:t>
      </w:r>
      <w:r>
        <w:rPr>
          <w:rFonts w:hint="eastAsia" w:ascii="仿宋_GB2312" w:hAnsi="仿宋_GB2312" w:cs="仿宋_GB2312"/>
          <w:color w:val="auto"/>
          <w:kern w:val="2"/>
          <w:sz w:val="32"/>
          <w:szCs w:val="32"/>
          <w:lang w:val="en-US" w:eastAsia="zh-CN" w:bidi="ar-SA"/>
        </w:rPr>
        <w:t>上清液</w:t>
      </w:r>
      <w:r>
        <w:rPr>
          <w:rFonts w:hint="eastAsia" w:ascii="仿宋_GB2312" w:hAnsi="仿宋_GB2312" w:eastAsia="仿宋_GB2312" w:cs="仿宋_GB2312"/>
          <w:color w:val="auto"/>
          <w:kern w:val="2"/>
          <w:sz w:val="32"/>
          <w:szCs w:val="32"/>
          <w:lang w:val="en-US" w:eastAsia="zh-CN" w:bidi="ar-SA"/>
        </w:rPr>
        <w:t>用</w:t>
      </w:r>
      <w:r>
        <w:rPr>
          <w:rFonts w:hint="eastAsia" w:ascii="仿宋_GB2312" w:hAnsi="仿宋_GB2312" w:cs="仿宋_GB2312"/>
          <w:color w:val="auto"/>
          <w:kern w:val="2"/>
          <w:sz w:val="32"/>
          <w:szCs w:val="32"/>
          <w:lang w:val="en-US" w:eastAsia="zh-CN" w:bidi="ar-SA"/>
        </w:rPr>
        <w:t>于</w:t>
      </w:r>
      <w:r>
        <w:rPr>
          <w:rFonts w:hint="eastAsia" w:ascii="仿宋_GB2312" w:hAnsi="仿宋_GB2312" w:eastAsia="仿宋_GB2312" w:cs="仿宋_GB2312"/>
          <w:color w:val="auto"/>
          <w:kern w:val="2"/>
          <w:sz w:val="32"/>
          <w:szCs w:val="32"/>
          <w:lang w:val="en-US" w:eastAsia="zh-CN" w:bidi="ar-SA"/>
        </w:rPr>
        <w:t>地面洒水抑尘。施工边界设临时围挡，对易产尘的建筑材料采取防尘覆盖措施，</w:t>
      </w:r>
      <w:r>
        <w:rPr>
          <w:rFonts w:hint="eastAsia" w:ascii="仿宋_GB2312" w:hAnsi="仿宋_GB2312" w:cs="仿宋_GB2312"/>
          <w:color w:val="auto"/>
          <w:kern w:val="2"/>
          <w:sz w:val="32"/>
          <w:szCs w:val="32"/>
          <w:lang w:val="en-US" w:eastAsia="zh-CN" w:bidi="ar-SA"/>
        </w:rPr>
        <w:t>采用</w:t>
      </w:r>
      <w:r>
        <w:rPr>
          <w:rFonts w:hint="eastAsia" w:ascii="仿宋_GB2312" w:hAnsi="仿宋_GB2312" w:eastAsia="仿宋_GB2312" w:cs="仿宋_GB2312"/>
          <w:color w:val="auto"/>
          <w:kern w:val="2"/>
          <w:sz w:val="32"/>
          <w:szCs w:val="32"/>
          <w:lang w:val="en-US" w:eastAsia="zh-CN" w:bidi="ar-SA"/>
        </w:rPr>
        <w:t>手弧焊；生活垃圾集中收集由环卫部门清运。建筑垃圾及时清运至建筑垃圾指定堆放点。使用低噪声施工机械，</w:t>
      </w:r>
      <w:r>
        <w:rPr>
          <w:rFonts w:hint="eastAsia" w:ascii="仿宋_GB2312" w:hAnsi="仿宋_GB2312" w:cs="仿宋_GB2312"/>
          <w:color w:val="auto"/>
          <w:kern w:val="2"/>
          <w:sz w:val="32"/>
          <w:szCs w:val="32"/>
          <w:lang w:val="en-US" w:eastAsia="zh-CN" w:bidi="ar-SA"/>
        </w:rPr>
        <w:t>禁止夜间施工，</w:t>
      </w:r>
      <w:r>
        <w:rPr>
          <w:rFonts w:hint="eastAsia" w:ascii="仿宋_GB2312" w:hAnsi="仿宋_GB2312" w:eastAsia="仿宋_GB2312" w:cs="仿宋_GB2312"/>
          <w:color w:val="auto"/>
          <w:kern w:val="2"/>
          <w:sz w:val="32"/>
          <w:szCs w:val="32"/>
          <w:lang w:val="en-US" w:eastAsia="zh-CN" w:bidi="ar-SA"/>
        </w:rPr>
        <w:t>控制施工期噪声符合《建筑施工场界环境噪声排放标准》（GB12523-2011）要求，将项目建设对外界环境影响降至最低。落实施工期的各项污染防治措施，防止发生环境污染和扰民事件。</w:t>
      </w:r>
    </w:p>
    <w:p w14:paraId="485BE9A2">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项目废水包括地面冲洗废水和PSA单元分水罐、混合罐排出原料中微量带水。项目新建装置围堰设置雨污切换阀，初期污染雨水和其他生产废水依托化肥厂内的11#B污水干线，进入吉林石化污水处理厂处理达标后排入松花江，11#B污水干线废水排放标准执行《合成氨工业水污染物排放标准》（GB13458-2013）中表2间接排放标准限值，吉林石化污水处理厂出水水质执行《石油化学工业污染物排放标准》（GB31571-2015，含2024年修改单）表1中直接排放标准要求，悬浮物执行《合成树脂工业污染物排放标准》（GB 31572-2015，含2024年修改单）表1中直接排放标准要求。</w:t>
      </w:r>
    </w:p>
    <w:p w14:paraId="538700A1">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3、本项目运营期产生的废气主要为原料提纯变压吸附过程产生的杂质气体，</w:t>
      </w:r>
      <w:r>
        <w:rPr>
          <w:rFonts w:hint="default" w:ascii="仿宋_GB2312" w:hAnsi="仿宋_GB2312" w:eastAsia="仿宋_GB2312" w:cs="仿宋_GB2312"/>
          <w:color w:val="auto"/>
          <w:kern w:val="2"/>
          <w:sz w:val="32"/>
          <w:szCs w:val="32"/>
          <w:lang w:val="en-US" w:eastAsia="zh-CN" w:bidi="ar-SA"/>
        </w:rPr>
        <w:t>主要污染物为甲醇、硫化氢</w:t>
      </w:r>
      <w:r>
        <w:rPr>
          <w:rFonts w:hint="eastAsia" w:ascii="仿宋_GB2312" w:hAnsi="仿宋_GB2312" w:eastAsia="仿宋_GB2312" w:cs="仿宋_GB2312"/>
          <w:color w:val="auto"/>
          <w:kern w:val="2"/>
          <w:sz w:val="32"/>
          <w:szCs w:val="32"/>
          <w:lang w:val="en-US" w:eastAsia="zh-CN" w:bidi="ar-SA"/>
        </w:rPr>
        <w:t>，在经过变压吸附过程后，依托一期工程35m高排气筒排放。加强管理，确保废气中的</w:t>
      </w:r>
      <w:r>
        <w:rPr>
          <w:rFonts w:hint="default" w:ascii="仿宋_GB2312" w:hAnsi="仿宋_GB2312" w:eastAsia="仿宋_GB2312" w:cs="仿宋_GB2312"/>
          <w:color w:val="auto"/>
          <w:kern w:val="2"/>
          <w:sz w:val="32"/>
          <w:szCs w:val="32"/>
          <w:lang w:val="en-US" w:eastAsia="zh-CN" w:bidi="ar-SA"/>
        </w:rPr>
        <w:t>甲醇执行《石油化学污染物排放标准》（GB31571-2015，含2024年修改单）表6</w:t>
      </w:r>
      <w:r>
        <w:rPr>
          <w:rFonts w:hint="eastAsia" w:ascii="仿宋_GB2312" w:hAnsi="仿宋_GB2312" w:eastAsia="仿宋_GB2312" w:cs="仿宋_GB2312"/>
          <w:color w:val="auto"/>
          <w:kern w:val="2"/>
          <w:sz w:val="32"/>
          <w:szCs w:val="32"/>
          <w:lang w:val="en-US" w:eastAsia="zh-CN" w:bidi="ar-SA"/>
        </w:rPr>
        <w:t>标准；</w:t>
      </w:r>
      <w:r>
        <w:rPr>
          <w:rFonts w:hint="default" w:ascii="仿宋_GB2312" w:hAnsi="仿宋_GB2312" w:eastAsia="仿宋_GB2312" w:cs="仿宋_GB2312"/>
          <w:color w:val="auto"/>
          <w:kern w:val="2"/>
          <w:sz w:val="32"/>
          <w:szCs w:val="32"/>
          <w:lang w:val="en-US" w:eastAsia="zh-CN" w:bidi="ar-SA"/>
        </w:rPr>
        <w:t>硫化氢排放执行《恶臭污染物排放标准》（GB14554-93）中排放</w:t>
      </w:r>
      <w:r>
        <w:rPr>
          <w:rFonts w:hint="eastAsia" w:ascii="仿宋_GB2312" w:hAnsi="仿宋_GB2312" w:cs="仿宋_GB2312"/>
          <w:color w:val="auto"/>
          <w:kern w:val="2"/>
          <w:sz w:val="32"/>
          <w:szCs w:val="32"/>
          <w:lang w:val="en-US" w:eastAsia="zh-CN" w:bidi="ar-SA"/>
        </w:rPr>
        <w:t>标准</w:t>
      </w:r>
      <w:r>
        <w:rPr>
          <w:rFonts w:hint="default" w:ascii="仿宋_GB2312" w:hAnsi="仿宋_GB2312" w:eastAsia="仿宋_GB2312" w:cs="仿宋_GB2312"/>
          <w:color w:val="auto"/>
          <w:kern w:val="2"/>
          <w:sz w:val="32"/>
          <w:szCs w:val="32"/>
          <w:lang w:val="en-US" w:eastAsia="zh-CN" w:bidi="ar-SA"/>
        </w:rPr>
        <w:t>要求</w:t>
      </w:r>
      <w:r>
        <w:rPr>
          <w:rFonts w:hint="eastAsia" w:ascii="仿宋_GB2312" w:hAnsi="仿宋_GB2312" w:eastAsia="仿宋_GB2312" w:cs="仿宋_GB2312"/>
          <w:color w:val="auto"/>
          <w:kern w:val="2"/>
          <w:sz w:val="32"/>
          <w:szCs w:val="32"/>
          <w:lang w:val="en-US" w:eastAsia="zh-CN" w:bidi="ar-SA"/>
        </w:rPr>
        <w:t>。</w:t>
      </w:r>
    </w:p>
    <w:p w14:paraId="3852204B">
      <w:pPr>
        <w:pStyle w:val="14"/>
        <w:keepNext w:val="0"/>
        <w:keepLines w:val="0"/>
        <w:pageBreakBefore w:val="0"/>
        <w:kinsoku/>
        <w:wordWrap/>
        <w:overflowPunct/>
        <w:topLinePunct w:val="0"/>
        <w:bidi w:val="0"/>
        <w:snapToGrid/>
        <w:spacing w:line="4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4、优先选用低噪音设备，合理布局，采取有效的隔声减振措施，确保厂界噪声符合《工业企业厂界环境噪声排放标准》（GB12348-2008）中3类声环境功能区限值。</w:t>
      </w:r>
    </w:p>
    <w:p w14:paraId="4CC72CB6">
      <w:pPr>
        <w:keepNext w:val="0"/>
        <w:keepLines w:val="0"/>
        <w:pageBreakBefore w:val="0"/>
        <w:widowControl/>
        <w:suppressLineNumbers w:val="0"/>
        <w:kinsoku/>
        <w:wordWrap/>
        <w:overflowPunct/>
        <w:topLinePunct w:val="0"/>
        <w:bidi w:val="0"/>
        <w:snapToGrid/>
        <w:spacing w:line="4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严格按照有关规定，对固体废物实施分类处理、处置，做到“减量化、资源化、无害化”，防止产生二次污染。本项目失活的硅胶类吸附剂和氧化铝类吸附剂在周转箱暂存，交由销售企业回收再利用。本项目废润滑油依托化</w:t>
      </w:r>
      <w:r>
        <w:rPr>
          <w:rFonts w:hint="eastAsia" w:ascii="仿宋_GB2312" w:hAnsi="仿宋_GB2312" w:eastAsia="仿宋_GB2312" w:cs="仿宋_GB2312"/>
          <w:color w:val="auto"/>
          <w:sz w:val="32"/>
          <w:szCs w:val="32"/>
          <w:lang w:val="en-US" w:eastAsia="zh-CN"/>
        </w:rPr>
        <w:t>肥厂</w:t>
      </w:r>
      <w:r>
        <w:rPr>
          <w:rFonts w:hint="eastAsia" w:cs="仿宋_GB2312"/>
          <w:color w:val="auto"/>
          <w:sz w:val="32"/>
          <w:szCs w:val="32"/>
          <w:lang w:val="en-US" w:eastAsia="zh-CN"/>
        </w:rPr>
        <w:t>危险废物</w:t>
      </w:r>
      <w:r>
        <w:rPr>
          <w:rFonts w:hint="eastAsia" w:ascii="仿宋_GB2312" w:hAnsi="仿宋_GB2312" w:eastAsia="仿宋_GB2312" w:cs="仿宋_GB2312"/>
          <w:color w:val="auto"/>
          <w:sz w:val="32"/>
          <w:szCs w:val="32"/>
          <w:lang w:val="en-US" w:eastAsia="zh-CN"/>
        </w:rPr>
        <w:t>暂存库</w:t>
      </w:r>
      <w:r>
        <w:rPr>
          <w:rFonts w:hint="eastAsia" w:cs="仿宋_GB2312"/>
          <w:color w:val="auto"/>
          <w:sz w:val="32"/>
          <w:szCs w:val="32"/>
          <w:lang w:val="en-US" w:eastAsia="zh-CN"/>
        </w:rPr>
        <w:t>暂存</w:t>
      </w:r>
      <w:r>
        <w:rPr>
          <w:rFonts w:hint="eastAsia" w:ascii="仿宋_GB2312" w:hAnsi="仿宋_GB2312" w:eastAsia="仿宋_GB2312" w:cs="仿宋_GB2312"/>
          <w:color w:val="auto"/>
          <w:sz w:val="32"/>
          <w:szCs w:val="32"/>
          <w:lang w:val="en-US" w:eastAsia="zh-CN"/>
        </w:rPr>
        <w:t>，定期交有资质单位</w:t>
      </w:r>
      <w:r>
        <w:rPr>
          <w:rFonts w:hint="eastAsia" w:cs="仿宋_GB2312"/>
          <w:color w:val="auto"/>
          <w:sz w:val="32"/>
          <w:szCs w:val="32"/>
          <w:lang w:val="en-US" w:eastAsia="zh-CN"/>
        </w:rPr>
        <w:t>处置；</w:t>
      </w:r>
      <w:r>
        <w:rPr>
          <w:rFonts w:hint="eastAsia" w:ascii="仿宋_GB2312" w:hAnsi="仿宋_GB2312" w:eastAsia="仿宋_GB2312" w:cs="仿宋_GB2312"/>
          <w:color w:val="auto"/>
          <w:sz w:val="32"/>
          <w:szCs w:val="32"/>
          <w:lang w:val="en-US" w:eastAsia="zh-CN"/>
        </w:rPr>
        <w:t>生活垃圾统一收集，由环卫部门定期清运。加强管理，确保危险废物处置符合《危险废物贮存污染控制标准》（GB18597-2023）；固体废物处置符合《</w:t>
      </w:r>
      <w:r>
        <w:rPr>
          <w:rFonts w:hint="eastAsia" w:ascii="仿宋_GB2312" w:hAnsi="仿宋_GB2312" w:eastAsia="仿宋_GB2312" w:cs="仿宋_GB2312"/>
          <w:sz w:val="32"/>
          <w:szCs w:val="32"/>
          <w:highlight w:val="none"/>
          <w:lang w:val="en-US" w:eastAsia="zh-CN"/>
        </w:rPr>
        <w:t>一般工业固体废物贮存和填埋污染控</w:t>
      </w:r>
      <w:r>
        <w:rPr>
          <w:rFonts w:hint="eastAsia" w:ascii="仿宋_GB2312" w:hAnsi="仿宋_GB2312" w:eastAsia="仿宋_GB2312" w:cs="仿宋_GB2312"/>
          <w:color w:val="auto"/>
          <w:sz w:val="32"/>
          <w:szCs w:val="32"/>
          <w:lang w:val="en-US" w:eastAsia="zh-CN"/>
        </w:rPr>
        <w:t>制标准》（GB18599-2020）。　</w:t>
      </w:r>
    </w:p>
    <w:p w14:paraId="1125E302">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落实地下水和土壤污染防治措施。厂区采取分区防渗。对生产装置区重点防渗、防腐、防漏处理。加强管理，确保防渗要求满足《石油化工工程防渗技术规划》要求，建立监管制度，对各防渗区域进行定期检查及修复，以免防渗层意外破损导致污染物下渗污染地下水及土壤环境。</w:t>
      </w:r>
    </w:p>
    <w:p w14:paraId="48248C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Cs/>
          <w:color w:val="auto"/>
          <w:kern w:val="2"/>
          <w:sz w:val="32"/>
          <w:szCs w:val="32"/>
          <w:lang w:val="en-US" w:eastAsia="zh-CN" w:bidi="ar-SA"/>
        </w:rPr>
        <w:t>严格落实环评报告中的风险防范和应急措施。</w:t>
      </w:r>
      <w:r>
        <w:rPr>
          <w:rFonts w:hint="eastAsia" w:cs="仿宋_GB2312"/>
          <w:bCs/>
          <w:color w:val="auto"/>
          <w:kern w:val="2"/>
          <w:sz w:val="32"/>
          <w:szCs w:val="32"/>
          <w:lang w:val="en-US" w:eastAsia="zh-CN" w:bidi="ar-SA"/>
        </w:rPr>
        <w:t>及时修编完善</w:t>
      </w:r>
      <w:r>
        <w:rPr>
          <w:rFonts w:hint="eastAsia" w:ascii="仿宋_GB2312" w:hAnsi="仿宋_GB2312" w:eastAsia="仿宋_GB2312" w:cs="仿宋_GB2312"/>
          <w:bCs/>
          <w:color w:val="auto"/>
          <w:kern w:val="2"/>
          <w:sz w:val="32"/>
          <w:szCs w:val="32"/>
          <w:lang w:val="en-US" w:eastAsia="zh-CN" w:bidi="ar-SA"/>
        </w:rPr>
        <w:t>污染事故防范和处理应急预案，提高事故风险防范和污染控制能力。</w:t>
      </w:r>
      <w:r>
        <w:rPr>
          <w:rFonts w:hint="default" w:ascii="仿宋_GB2312" w:hAnsi="仿宋_GB2312" w:eastAsia="仿宋_GB2312" w:cs="仿宋_GB2312"/>
          <w:bCs/>
          <w:color w:val="auto"/>
          <w:kern w:val="2"/>
          <w:sz w:val="32"/>
          <w:szCs w:val="32"/>
          <w:lang w:val="en-US" w:eastAsia="zh-CN" w:bidi="ar-SA"/>
        </w:rPr>
        <w:t>按照生产受控管理，将“三级防控”的操作和运行管理纳入操作规程，绘制工艺系统图，“三级防控”设施启动程序纳入环境事件应急预案。</w:t>
      </w:r>
      <w:r>
        <w:rPr>
          <w:rFonts w:hint="eastAsia" w:ascii="仿宋_GB2312" w:hAnsi="仿宋_GB2312" w:eastAsia="仿宋_GB2312" w:cs="仿宋_GB2312"/>
          <w:bCs/>
          <w:color w:val="auto"/>
          <w:kern w:val="2"/>
          <w:sz w:val="32"/>
          <w:szCs w:val="32"/>
          <w:lang w:val="en-US" w:eastAsia="zh-CN" w:bidi="ar-SA"/>
        </w:rPr>
        <w:t>增强员工的环境风险防范意识，定期进行环境安全隐患排查。设置</w:t>
      </w:r>
      <w:r>
        <w:rPr>
          <w:rFonts w:hint="default" w:ascii="Times New Roman" w:hAnsi="Times New Roman" w:cs="Times New Roman"/>
          <w:highlight w:val="none"/>
          <w:u w:val="none"/>
          <w:lang w:val="en-US" w:eastAsia="zh-CN"/>
        </w:rPr>
        <w:t>氧气</w:t>
      </w:r>
      <w:r>
        <w:rPr>
          <w:rFonts w:hint="eastAsia" w:ascii="Times New Roman" w:hAnsi="Times New Roman" w:cs="Times New Roman"/>
          <w:highlight w:val="none"/>
          <w:u w:val="none"/>
          <w:lang w:val="en-US" w:eastAsia="zh-CN"/>
        </w:rPr>
        <w:t>、</w:t>
      </w:r>
      <w:r>
        <w:rPr>
          <w:rFonts w:hint="default" w:ascii="Times New Roman" w:hAnsi="Times New Roman" w:cs="Times New Roman"/>
          <w:highlight w:val="none"/>
          <w:u w:val="none"/>
          <w:lang w:val="en-US" w:eastAsia="zh-CN"/>
        </w:rPr>
        <w:t>二氧化</w:t>
      </w:r>
      <w:bookmarkStart w:id="0" w:name="_GoBack"/>
      <w:bookmarkEnd w:id="0"/>
      <w:r>
        <w:rPr>
          <w:rFonts w:hint="default" w:ascii="Times New Roman" w:hAnsi="Times New Roman" w:cs="Times New Roman"/>
          <w:highlight w:val="none"/>
          <w:u w:val="none"/>
          <w:lang w:val="en-US" w:eastAsia="zh-CN"/>
        </w:rPr>
        <w:t>碳气体探测器，信号传送至（可燃/有毒）气体检测系统</w:t>
      </w:r>
      <w:r>
        <w:rPr>
          <w:rFonts w:hint="eastAsia" w:ascii="Times New Roman" w:hAnsi="Times New Roman" w:cs="Times New Roman"/>
          <w:highlight w:val="none"/>
          <w:u w:val="none"/>
          <w:lang w:val="en-US" w:eastAsia="zh-CN"/>
        </w:rPr>
        <w:t>，设置</w:t>
      </w:r>
      <w:r>
        <w:rPr>
          <w:rFonts w:hint="eastAsia" w:ascii="仿宋_GB2312" w:hAnsi="仿宋_GB2312" w:eastAsia="仿宋_GB2312" w:cs="仿宋_GB2312"/>
          <w:bCs/>
          <w:color w:val="auto"/>
          <w:kern w:val="2"/>
          <w:sz w:val="32"/>
          <w:szCs w:val="32"/>
          <w:lang w:val="en-US" w:eastAsia="zh-CN" w:bidi="ar-SA"/>
        </w:rPr>
        <w:t>地下水污染防控体系</w:t>
      </w:r>
      <w:r>
        <w:rPr>
          <w:rFonts w:hint="eastAsia" w:cs="仿宋_GB2312"/>
          <w:bCs/>
          <w:color w:val="auto"/>
          <w:kern w:val="2"/>
          <w:sz w:val="32"/>
          <w:szCs w:val="32"/>
          <w:lang w:val="en-US" w:eastAsia="zh-CN" w:bidi="ar-SA"/>
        </w:rPr>
        <w:t>。</w:t>
      </w:r>
    </w:p>
    <w:p w14:paraId="46E82432">
      <w:pPr>
        <w:pStyle w:val="18"/>
        <w:keepNext w:val="0"/>
        <w:keepLines w:val="0"/>
        <w:pageBreakBefore w:val="0"/>
        <w:kinsoku/>
        <w:wordWrap/>
        <w:overflowPunct/>
        <w:topLinePunct w:val="0"/>
        <w:bidi w:val="0"/>
        <w:snapToGrid/>
        <w:spacing w:line="4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Cs/>
          <w:color w:val="auto"/>
          <w:kern w:val="2"/>
          <w:sz w:val="32"/>
          <w:szCs w:val="32"/>
          <w:lang w:val="en-US" w:eastAsia="zh-CN" w:bidi="ar-SA"/>
        </w:rPr>
        <w:t>企业应按照相关要求落实监测计划。</w:t>
      </w:r>
    </w:p>
    <w:p w14:paraId="51F518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六、由吉林市生态环境保护综合行政执法支队龙潭大队负责按照《建设项目环境保护事中事后监督管理办法（试行）》（环发〔2015〕163号）的规定，进行本建设项目事中事后的环境监督管理工作。</w:t>
      </w:r>
    </w:p>
    <w:p w14:paraId="0ABF153B">
      <w:pPr>
        <w:pStyle w:val="6"/>
        <w:rPr>
          <w:rFonts w:hint="eastAsia"/>
          <w:lang w:eastAsia="zh-CN"/>
        </w:rPr>
      </w:pPr>
    </w:p>
    <w:p w14:paraId="37802DAC">
      <w:pPr>
        <w:pStyle w:val="7"/>
        <w:widowControl w:val="0"/>
        <w:numPr>
          <w:numId w:val="0"/>
        </w:numPr>
        <w:spacing w:line="576" w:lineRule="exact"/>
        <w:jc w:val="both"/>
        <w:rPr>
          <w:rFonts w:hint="eastAsia"/>
          <w:lang w:eastAsia="zh-CN"/>
        </w:rPr>
      </w:pPr>
    </w:p>
    <w:p w14:paraId="5D3DEDD5">
      <w:pPr>
        <w:pStyle w:val="7"/>
        <w:widowControl w:val="0"/>
        <w:numPr>
          <w:numId w:val="0"/>
        </w:numPr>
        <w:spacing w:line="576" w:lineRule="exact"/>
        <w:jc w:val="both"/>
        <w:rPr>
          <w:rFonts w:hint="eastAsia"/>
          <w:lang w:eastAsia="zh-CN"/>
        </w:rPr>
      </w:pPr>
    </w:p>
    <w:p w14:paraId="7CDFEAC4">
      <w:pPr>
        <w:keepNext w:val="0"/>
        <w:keepLines w:val="0"/>
        <w:pageBreakBefore w:val="0"/>
        <w:widowControl w:val="0"/>
        <w:kinsoku/>
        <w:wordWrap/>
        <w:overflowPunct/>
        <w:topLinePunct w:val="0"/>
        <w:autoSpaceDE w:val="0"/>
        <w:autoSpaceDN w:val="0"/>
        <w:bidi w:val="0"/>
        <w:adjustRightInd w:val="0"/>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7E14DD2F">
      <w:pPr>
        <w:keepNext w:val="0"/>
        <w:keepLines w:val="0"/>
        <w:pageBreakBefore w:val="0"/>
        <w:widowControl w:val="0"/>
        <w:kinsoku/>
        <w:wordWrap/>
        <w:overflowPunct/>
        <w:topLinePunct w:val="0"/>
        <w:autoSpaceDE w:val="0"/>
        <w:autoSpaceDN w:val="0"/>
        <w:bidi w:val="0"/>
        <w:adjustRightInd w:val="0"/>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7月2</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6"/>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ind w:left="1160" w:leftChars="100" w:hanging="840" w:hangingChars="3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cs="Times New Roman"/>
                <w:sz w:val="28"/>
                <w:szCs w:val="28"/>
              </w:rPr>
              <w:t>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ind w:left="0" w:leftChars="0" w:firstLine="280" w:firstLineChars="1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吉林市生态环境局</w:t>
            </w:r>
            <w:r>
              <w:rPr>
                <w:rFonts w:hint="eastAsia" w:ascii="仿宋" w:hAnsi="仿宋" w:eastAsia="仿宋"/>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ind w:right="320" w:rightChars="100"/>
              <w:jc w:val="right"/>
              <w:rPr>
                <w:rFonts w:ascii="仿宋" w:hAnsi="仿宋" w:eastAsia="仿宋"/>
                <w:sz w:val="28"/>
                <w:szCs w:val="28"/>
              </w:rPr>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日印发</w:t>
            </w:r>
          </w:p>
        </w:tc>
      </w:tr>
    </w:tbl>
    <w:p w14:paraId="1E0616B6">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5EBC5AC-573B-40CB-A442-1EE7D421988A}"/>
  </w:font>
  <w:font w:name="仿宋">
    <w:panose1 w:val="02010609060101010101"/>
    <w:charset w:val="86"/>
    <w:family w:val="auto"/>
    <w:pitch w:val="default"/>
    <w:sig w:usb0="800002BF" w:usb1="38CF7CFA" w:usb2="00000016" w:usb3="00000000" w:csb0="00040001" w:csb1="00000000"/>
    <w:embedRegular r:id="rId2" w:fontKey="{F3005617-C1D8-4EDB-8A7A-A44F391B45EC}"/>
  </w:font>
  <w:font w:name="方正小标宋简体">
    <w:panose1 w:val="03000509000000000000"/>
    <w:charset w:val="86"/>
    <w:family w:val="auto"/>
    <w:pitch w:val="default"/>
    <w:sig w:usb0="00000001" w:usb1="080E0000" w:usb2="00000000" w:usb3="00000000" w:csb0="00040000" w:csb1="00000000"/>
    <w:embedRegular r:id="rId3" w:fontKey="{77941838-BF6D-495B-9D61-34AB63E05C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2040111B"/>
    <w:multiLevelType w:val="singleLevel"/>
    <w:tmpl w:val="2040111B"/>
    <w:lvl w:ilvl="0" w:tentative="0">
      <w:start w:val="1"/>
      <w:numFmt w:val="chineseCounting"/>
      <w:suff w:val="nothing"/>
      <w:lvlText w:val="%1、"/>
      <w:lvlJc w:val="left"/>
      <w:rPr>
        <w:rFonts w:hint="eastAsia"/>
      </w:rPr>
    </w:lvl>
  </w:abstractNum>
  <w:abstractNum w:abstractNumId="2">
    <w:nsid w:val="73E381FC"/>
    <w:multiLevelType w:val="multilevel"/>
    <w:tmpl w:val="73E381FC"/>
    <w:lvl w:ilvl="0" w:tentative="0">
      <w:start w:val="1"/>
      <w:numFmt w:val="chineseCounting"/>
      <w:pStyle w:val="2"/>
      <w:suff w:val="nothing"/>
      <w:lvlText w:val="%1、"/>
      <w:lvlJc w:val="left"/>
      <w:pPr>
        <w:tabs>
          <w:tab w:val="left" w:pos="993"/>
        </w:tabs>
        <w:ind w:left="993" w:firstLine="0"/>
      </w:pPr>
      <w:rPr>
        <w:rFonts w:hint="eastAsia"/>
      </w:rPr>
    </w:lvl>
    <w:lvl w:ilvl="1" w:tentative="0">
      <w:start w:val="1"/>
      <w:numFmt w:val="chineseCounting"/>
      <w:pStyle w:val="3"/>
      <w:suff w:val="nothing"/>
      <w:lvlText w:val="（%2）"/>
      <w:lvlJc w:val="left"/>
      <w:pPr>
        <w:ind w:left="993" w:firstLine="0"/>
      </w:pPr>
      <w:rPr>
        <w:rFonts w:hint="eastAsia" w:ascii="仿宋" w:hAnsi="仿宋" w:eastAsia="仿宋" w:cs="宋体"/>
      </w:rPr>
    </w:lvl>
    <w:lvl w:ilvl="2" w:tentative="0">
      <w:start w:val="1"/>
      <w:numFmt w:val="decimal"/>
      <w:pStyle w:val="4"/>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66438F"/>
    <w:rsid w:val="02E46937"/>
    <w:rsid w:val="030B6161"/>
    <w:rsid w:val="039670E6"/>
    <w:rsid w:val="07264286"/>
    <w:rsid w:val="07542310"/>
    <w:rsid w:val="07DC57B4"/>
    <w:rsid w:val="08607EC0"/>
    <w:rsid w:val="08EA2658"/>
    <w:rsid w:val="09864BCA"/>
    <w:rsid w:val="0A094D1A"/>
    <w:rsid w:val="0C7236B3"/>
    <w:rsid w:val="0C803E0F"/>
    <w:rsid w:val="0D832131"/>
    <w:rsid w:val="0DB06FB5"/>
    <w:rsid w:val="0E102B78"/>
    <w:rsid w:val="0F062414"/>
    <w:rsid w:val="0F4C6BFF"/>
    <w:rsid w:val="0F873E45"/>
    <w:rsid w:val="0F914A2F"/>
    <w:rsid w:val="0FE15608"/>
    <w:rsid w:val="116E69B0"/>
    <w:rsid w:val="121B3756"/>
    <w:rsid w:val="12270675"/>
    <w:rsid w:val="140B464A"/>
    <w:rsid w:val="14311A36"/>
    <w:rsid w:val="14485080"/>
    <w:rsid w:val="14F05B14"/>
    <w:rsid w:val="1529088D"/>
    <w:rsid w:val="15D37529"/>
    <w:rsid w:val="160B1746"/>
    <w:rsid w:val="18381EC3"/>
    <w:rsid w:val="184419B1"/>
    <w:rsid w:val="18527E28"/>
    <w:rsid w:val="19D8137C"/>
    <w:rsid w:val="1A445BA3"/>
    <w:rsid w:val="1A50276F"/>
    <w:rsid w:val="1A9A1170"/>
    <w:rsid w:val="1A9D0C70"/>
    <w:rsid w:val="1B1F3CE5"/>
    <w:rsid w:val="1C681F7B"/>
    <w:rsid w:val="1CDD0E88"/>
    <w:rsid w:val="1D007D32"/>
    <w:rsid w:val="1D093E4D"/>
    <w:rsid w:val="1EC975DB"/>
    <w:rsid w:val="1F196F14"/>
    <w:rsid w:val="1F30765A"/>
    <w:rsid w:val="1F560908"/>
    <w:rsid w:val="1FEB0348"/>
    <w:rsid w:val="20542ED4"/>
    <w:rsid w:val="2155673D"/>
    <w:rsid w:val="217B49B5"/>
    <w:rsid w:val="25334FFC"/>
    <w:rsid w:val="26E60F2F"/>
    <w:rsid w:val="27002679"/>
    <w:rsid w:val="2777171F"/>
    <w:rsid w:val="28374BF9"/>
    <w:rsid w:val="283F0D7D"/>
    <w:rsid w:val="29E17ECF"/>
    <w:rsid w:val="29F17A79"/>
    <w:rsid w:val="2BEF7F49"/>
    <w:rsid w:val="2E8A5DA3"/>
    <w:rsid w:val="2EE94141"/>
    <w:rsid w:val="310F3168"/>
    <w:rsid w:val="31CC241B"/>
    <w:rsid w:val="355A7EE2"/>
    <w:rsid w:val="355D1578"/>
    <w:rsid w:val="355D1A20"/>
    <w:rsid w:val="380541CD"/>
    <w:rsid w:val="38A731BC"/>
    <w:rsid w:val="38AB0E58"/>
    <w:rsid w:val="3971572F"/>
    <w:rsid w:val="398E4E00"/>
    <w:rsid w:val="3A4A0CD0"/>
    <w:rsid w:val="3AF143FE"/>
    <w:rsid w:val="3B164258"/>
    <w:rsid w:val="3D8E4D06"/>
    <w:rsid w:val="3EC15C04"/>
    <w:rsid w:val="40F33C83"/>
    <w:rsid w:val="44B65B7C"/>
    <w:rsid w:val="45076938"/>
    <w:rsid w:val="47107A2C"/>
    <w:rsid w:val="47B02837"/>
    <w:rsid w:val="49881965"/>
    <w:rsid w:val="4A413C1F"/>
    <w:rsid w:val="4A797DE0"/>
    <w:rsid w:val="4A9C14F9"/>
    <w:rsid w:val="4B701D22"/>
    <w:rsid w:val="4C6866A3"/>
    <w:rsid w:val="510219E5"/>
    <w:rsid w:val="51BF1969"/>
    <w:rsid w:val="51E676C4"/>
    <w:rsid w:val="535011CF"/>
    <w:rsid w:val="55641C22"/>
    <w:rsid w:val="56353FD8"/>
    <w:rsid w:val="56EE7B37"/>
    <w:rsid w:val="57576CA1"/>
    <w:rsid w:val="57582925"/>
    <w:rsid w:val="5B570E5D"/>
    <w:rsid w:val="5DE13458"/>
    <w:rsid w:val="5F0E6770"/>
    <w:rsid w:val="61033D11"/>
    <w:rsid w:val="61A75455"/>
    <w:rsid w:val="61B7275D"/>
    <w:rsid w:val="621A0BB0"/>
    <w:rsid w:val="62341F48"/>
    <w:rsid w:val="6242353D"/>
    <w:rsid w:val="63A11840"/>
    <w:rsid w:val="64B36EE9"/>
    <w:rsid w:val="66095259"/>
    <w:rsid w:val="66732BA5"/>
    <w:rsid w:val="675A334B"/>
    <w:rsid w:val="685B4774"/>
    <w:rsid w:val="6A1F439D"/>
    <w:rsid w:val="6A524E2D"/>
    <w:rsid w:val="6B5B0D2F"/>
    <w:rsid w:val="6EFB604C"/>
    <w:rsid w:val="6F2B728F"/>
    <w:rsid w:val="70886160"/>
    <w:rsid w:val="71724535"/>
    <w:rsid w:val="71E3174B"/>
    <w:rsid w:val="72F75E47"/>
    <w:rsid w:val="73F12BC9"/>
    <w:rsid w:val="74BA710A"/>
    <w:rsid w:val="74BF4D8C"/>
    <w:rsid w:val="77E77D4F"/>
    <w:rsid w:val="7841456F"/>
    <w:rsid w:val="78853563"/>
    <w:rsid w:val="7A916D31"/>
    <w:rsid w:val="7B1B4558"/>
    <w:rsid w:val="7C1B42AF"/>
    <w:rsid w:val="7C876821"/>
    <w:rsid w:val="7C9F0813"/>
    <w:rsid w:val="7D13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2">
    <w:name w:val="heading 1"/>
    <w:basedOn w:val="1"/>
    <w:next w:val="1"/>
    <w:link w:val="22"/>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3">
    <w:name w:val="heading 2"/>
    <w:basedOn w:val="1"/>
    <w:next w:val="1"/>
    <w:link w:val="21"/>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0"/>
    <w:pPr>
      <w:jc w:val="left"/>
    </w:pPr>
    <w:rPr>
      <w:kern w:val="0"/>
      <w:sz w:val="24"/>
      <w:szCs w:val="20"/>
    </w:rPr>
  </w:style>
  <w:style w:type="paragraph" w:styleId="6">
    <w:name w:val="Body Text"/>
    <w:basedOn w:val="1"/>
    <w:next w:val="7"/>
    <w:autoRedefine/>
    <w:qFormat/>
    <w:uiPriority w:val="0"/>
    <w:rPr>
      <w:sz w:val="28"/>
    </w:rPr>
  </w:style>
  <w:style w:type="paragraph" w:styleId="7">
    <w:name w:val="List Bullet 5"/>
    <w:basedOn w:val="1"/>
    <w:autoRedefine/>
    <w:qFormat/>
    <w:uiPriority w:val="0"/>
    <w:pPr>
      <w:numPr>
        <w:ilvl w:val="0"/>
        <w:numId w:val="2"/>
      </w:numPr>
    </w:pPr>
  </w:style>
  <w:style w:type="paragraph" w:styleId="8">
    <w:name w:val="Plain Text"/>
    <w:basedOn w:val="1"/>
    <w:next w:val="1"/>
    <w:autoRedefine/>
    <w:qFormat/>
    <w:uiPriority w:val="0"/>
    <w:rPr>
      <w:rFonts w:ascii="宋体" w:hAnsi="Courier New"/>
    </w:rPr>
  </w:style>
  <w:style w:type="paragraph" w:styleId="9">
    <w:name w:val="Date"/>
    <w:basedOn w:val="1"/>
    <w:next w:val="1"/>
    <w:autoRedefine/>
    <w:qFormat/>
    <w:uiPriority w:val="0"/>
    <w:pPr>
      <w:ind w:leftChars="2500"/>
    </w:pPr>
    <w:rPr>
      <w:rFonts w:eastAsia="仿宋_GB2312"/>
      <w:sz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footnote text"/>
    <w:basedOn w:val="1"/>
    <w:autoRedefine/>
    <w:qFormat/>
    <w:uiPriority w:val="0"/>
    <w:pPr>
      <w:snapToGrid w:val="0"/>
      <w:jc w:val="left"/>
    </w:pPr>
    <w:rPr>
      <w:sz w:val="18"/>
    </w:rPr>
  </w:style>
  <w:style w:type="paragraph" w:styleId="14">
    <w:name w:val="toc 2"/>
    <w:basedOn w:val="1"/>
    <w:next w:val="1"/>
    <w:autoRedefine/>
    <w:qFormat/>
    <w:uiPriority w:val="0"/>
    <w:pPr>
      <w:ind w:left="420" w:leftChars="200"/>
    </w:pPr>
  </w:style>
  <w:style w:type="table" w:styleId="16">
    <w:name w:val="Table Grid"/>
    <w:basedOn w:val="15"/>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8">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9">
    <w:name w:val="Default"/>
    <w:basedOn w:val="20"/>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1">
    <w:name w:val="标题 2 Char"/>
    <w:link w:val="3"/>
    <w:autoRedefine/>
    <w:qFormat/>
    <w:locked/>
    <w:uiPriority w:val="99"/>
    <w:rPr>
      <w:rFonts w:ascii="Arial" w:hAnsi="Arial" w:eastAsia="宋体" w:cs="Times New Roman"/>
      <w:b/>
      <w:bCs/>
      <w:sz w:val="28"/>
      <w:szCs w:val="32"/>
    </w:rPr>
  </w:style>
  <w:style w:type="character" w:customStyle="1" w:styleId="22">
    <w:name w:val="标题 1 Char"/>
    <w:link w:val="2"/>
    <w:autoRedefine/>
    <w:qFormat/>
    <w:locked/>
    <w:uiPriority w:val="99"/>
    <w:rPr>
      <w:rFonts w:ascii="Calibri" w:hAnsi="Calibri" w:eastAsia="宋体"/>
      <w:b/>
      <w:kern w:val="44"/>
      <w:sz w:val="44"/>
      <w:szCs w:val="24"/>
      <w:lang w:bidi="ar-SA"/>
    </w:rPr>
  </w:style>
  <w:style w:type="paragraph" w:customStyle="1" w:styleId="23">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2450</Words>
  <Characters>2647</Characters>
  <Lines>0</Lines>
  <Paragraphs>0</Paragraphs>
  <TotalTime>2</TotalTime>
  <ScaleCrop>false</ScaleCrop>
  <LinksUpToDate>false</LinksUpToDate>
  <CharactersWithSpaces>2660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2023-10-27T01:38:00Z</cp:lastPrinted>
  <dcterms:modified xsi:type="dcterms:W3CDTF">2025-06-25T00:49:19Z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329E369A3A544B8EA6D7F463EA0A9938_13</vt:lpwstr>
  </property>
  <property fmtid="{D5CDD505-2E9C-101B-9397-08002B2CF9AE}" pid="4" name="KSOTemplateDocerSaveRecord">
    <vt:lpwstr>eyJoZGlkIjoiMDc5MzViOWI5ODMxNmU1MjFmZjY5NjVlZTE5M2Q2YjUiLCJ1c2VySWQiOiIzNDEzNjc4NTYifQ==</vt:lpwstr>
  </property>
</Properties>
</file>