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EF0B">
      <w:pPr>
        <w:rPr>
          <w:sz w:val="32"/>
        </w:rPr>
      </w:pPr>
    </w:p>
    <w:p w14:paraId="1E3007F7">
      <w:pPr>
        <w:bidi w:val="0"/>
        <w:rPr>
          <w:rFonts w:hint="eastAsia" w:ascii="仿宋_GB2312" w:hAnsi="仿宋_GB2312" w:eastAsia="仿宋_GB2312" w:cs="Times New Roman"/>
          <w:kern w:val="2"/>
          <w:sz w:val="32"/>
          <w:szCs w:val="32"/>
          <w:lang w:val="en-US" w:eastAsia="zh-CN" w:bidi="ar-SA"/>
        </w:rPr>
      </w:pPr>
    </w:p>
    <w:p w14:paraId="47C370EE">
      <w:pPr>
        <w:bidi w:val="0"/>
        <w:rPr>
          <w:rFonts w:hint="eastAsia"/>
          <w:lang w:val="en-US" w:eastAsia="zh-CN"/>
        </w:rPr>
      </w:pPr>
    </w:p>
    <w:p w14:paraId="49047710">
      <w:pPr>
        <w:bidi w:val="0"/>
        <w:rPr>
          <w:rFonts w:hint="eastAsia"/>
          <w:lang w:val="en-US" w:eastAsia="zh-CN"/>
        </w:rPr>
      </w:pPr>
    </w:p>
    <w:p w14:paraId="60853B99">
      <w:pPr>
        <w:bidi w:val="0"/>
        <w:rPr>
          <w:rFonts w:hint="eastAsia"/>
          <w:lang w:val="en-US" w:eastAsia="zh-CN"/>
        </w:rPr>
      </w:pPr>
    </w:p>
    <w:p w14:paraId="659ACEF8">
      <w:pPr>
        <w:bidi w:val="0"/>
        <w:rPr>
          <w:rFonts w:hint="eastAsia"/>
          <w:lang w:val="en-US" w:eastAsia="zh-CN"/>
        </w:rPr>
      </w:pPr>
    </w:p>
    <w:p w14:paraId="481D5F53">
      <w:pPr>
        <w:bidi w:val="0"/>
        <w:rPr>
          <w:rFonts w:hint="eastAsia"/>
          <w:lang w:val="en-US" w:eastAsia="zh-CN"/>
        </w:rPr>
      </w:pPr>
    </w:p>
    <w:p w14:paraId="691D03EF">
      <w:pPr>
        <w:bidi w:val="0"/>
        <w:ind w:left="0" w:leftChars="0" w:firstLine="0" w:firstLineChars="0"/>
        <w:jc w:val="center"/>
        <w:rPr>
          <w:rFonts w:hint="eastAsia" w:ascii="仿宋_GB2312" w:hAnsi="仿宋_GB2312" w:eastAsia="仿宋_GB2312" w:cs="仿宋_GB2312"/>
          <w:spacing w:val="-20"/>
          <w:sz w:val="32"/>
          <w:szCs w:val="32"/>
        </w:rPr>
      </w:pPr>
    </w:p>
    <w:p w14:paraId="35631A9F">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2</w:t>
      </w:r>
      <w:r>
        <w:rPr>
          <w:rFonts w:hint="eastAsia" w:ascii="仿宋_GB2312" w:hAnsi="仿宋_GB2312" w:eastAsia="仿宋_GB2312" w:cs="仿宋_GB2312"/>
          <w:spacing w:val="-20"/>
          <w:sz w:val="32"/>
          <w:szCs w:val="32"/>
        </w:rPr>
        <w:t>号</w:t>
      </w:r>
    </w:p>
    <w:p w14:paraId="6CFE3E67">
      <w:pPr>
        <w:bidi w:val="0"/>
        <w:ind w:left="0" w:leftChars="0" w:firstLine="0" w:firstLineChars="0"/>
        <w:jc w:val="both"/>
        <w:rPr>
          <w:rFonts w:hint="eastAsia" w:ascii="仿宋_GB2312" w:hAnsi="仿宋_GB2312" w:eastAsia="仿宋_GB2312" w:cs="仿宋_GB2312"/>
          <w:spacing w:val="-20"/>
          <w:sz w:val="32"/>
          <w:szCs w:val="32"/>
        </w:rPr>
      </w:pPr>
    </w:p>
    <w:p w14:paraId="3AA0528F">
      <w:pPr>
        <w:spacing w:after="100" w:afterAutospacing="1" w:line="600" w:lineRule="exact"/>
        <w:ind w:left="792" w:leftChars="0" w:hanging="792" w:hangingChars="20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sz w:val="44"/>
          <w:szCs w:val="44"/>
          <w:lang w:eastAsia="zh-CN"/>
        </w:rPr>
        <w:t>关于</w:t>
      </w:r>
      <w:r>
        <w:rPr>
          <w:rFonts w:hint="eastAsia" w:ascii="方正小标宋简体" w:hAnsi="方正小标宋简体" w:eastAsia="方正小标宋简体" w:cs="方正小标宋简体"/>
          <w:b w:val="0"/>
          <w:bCs w:val="0"/>
          <w:w w:val="90"/>
          <w:sz w:val="44"/>
          <w:szCs w:val="44"/>
          <w:lang w:val="en-US" w:eastAsia="zh-CN"/>
        </w:rPr>
        <w:t xml:space="preserve">吉林龙潭经济开发区净水厂（一期项目）   </w:t>
      </w:r>
      <w:r>
        <w:rPr>
          <w:rFonts w:hint="eastAsia" w:ascii="方正小标宋简体" w:hAnsi="方正小标宋简体" w:eastAsia="方正小标宋简体" w:cs="方正小标宋简体"/>
          <w:b w:val="0"/>
          <w:bCs w:val="0"/>
          <w:w w:val="90"/>
          <w:sz w:val="44"/>
          <w:szCs w:val="44"/>
          <w:lang w:eastAsia="zh-CN"/>
        </w:rPr>
        <w:t>环境影响报告表的批复</w:t>
      </w:r>
    </w:p>
    <w:p w14:paraId="12540AD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吉林龙潭经济开发区管委会：</w:t>
      </w:r>
    </w:p>
    <w:p w14:paraId="6B2E1CC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你单位《关于对〈吉林龙潭经济开发区净水厂（一期）项目环境影响报告表〉审查的申请》和委托吉林</w:t>
      </w:r>
      <w:r>
        <w:rPr>
          <w:rFonts w:hint="eastAsia" w:hAnsi="Calibri" w:cs="Times New Roman"/>
          <w:color w:val="auto"/>
          <w:kern w:val="2"/>
          <w:sz w:val="32"/>
          <w:szCs w:val="32"/>
          <w:lang w:val="en-US" w:eastAsia="zh-CN" w:bidi="ar-SA"/>
        </w:rPr>
        <w:t>津港环境科</w:t>
      </w:r>
      <w:r>
        <w:rPr>
          <w:rFonts w:hint="eastAsia" w:ascii="仿宋_GB2312" w:hAnsi="Calibri" w:eastAsia="仿宋_GB2312" w:cs="Times New Roman"/>
          <w:color w:val="auto"/>
          <w:kern w:val="2"/>
          <w:sz w:val="32"/>
          <w:szCs w:val="32"/>
          <w:lang w:val="en-US" w:eastAsia="zh-CN" w:bidi="ar-SA"/>
        </w:rPr>
        <w:t>技有限公司编制的《吉林龙潭经济开发区净水厂（一期）项目环境影响报告表》</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报批版</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收悉。经研究，现批复如下：　</w:t>
      </w:r>
    </w:p>
    <w:p w14:paraId="026A11E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　　一、吉林龙潭经济开发区净水厂（一期）项目</w:t>
      </w:r>
      <w:r>
        <w:rPr>
          <w:rFonts w:hint="eastAsia" w:hAnsi="Calibri" w:cs="Times New Roman"/>
          <w:color w:val="auto"/>
          <w:kern w:val="2"/>
          <w:sz w:val="32"/>
          <w:szCs w:val="32"/>
          <w:lang w:val="en-US" w:eastAsia="zh-CN" w:bidi="ar-SA"/>
        </w:rPr>
        <w:t>拟建</w:t>
      </w:r>
      <w:r>
        <w:rPr>
          <w:rFonts w:hint="eastAsia" w:ascii="仿宋_GB2312" w:hAnsi="Calibri" w:eastAsia="仿宋_GB2312" w:cs="Times New Roman"/>
          <w:color w:val="auto"/>
          <w:kern w:val="2"/>
          <w:sz w:val="32"/>
          <w:szCs w:val="32"/>
          <w:lang w:val="en-US" w:eastAsia="zh-CN" w:bidi="ar-SA"/>
        </w:rPr>
        <w:t>于吉林龙潭经济开发区吉钢大路以南、规划珠江路以东位置，</w:t>
      </w:r>
      <w:r>
        <w:rPr>
          <w:rFonts w:hint="eastAsia" w:hAnsi="Calibri" w:cs="Times New Roman"/>
          <w:color w:val="auto"/>
          <w:kern w:val="2"/>
          <w:sz w:val="32"/>
          <w:szCs w:val="32"/>
          <w:lang w:val="en-US" w:eastAsia="zh-CN" w:bidi="ar-SA"/>
        </w:rPr>
        <w:t>净水厂</w:t>
      </w:r>
      <w:r>
        <w:rPr>
          <w:rFonts w:hint="eastAsia" w:ascii="仿宋_GB2312" w:hAnsi="Calibri" w:eastAsia="仿宋_GB2312" w:cs="Times New Roman"/>
          <w:color w:val="auto"/>
          <w:kern w:val="2"/>
          <w:sz w:val="32"/>
          <w:szCs w:val="32"/>
          <w:lang w:val="en-US" w:eastAsia="zh-CN" w:bidi="ar-SA"/>
        </w:rPr>
        <w:t>总设计规模</w:t>
      </w:r>
      <w:r>
        <w:rPr>
          <w:rFonts w:hint="eastAsia" w:hAnsi="Calibri" w:cs="Times New Roman"/>
          <w:color w:val="auto"/>
          <w:kern w:val="2"/>
          <w:sz w:val="32"/>
          <w:szCs w:val="32"/>
          <w:lang w:val="en-US" w:eastAsia="zh-CN" w:bidi="ar-SA"/>
        </w:rPr>
        <w:t>为</w:t>
      </w:r>
      <w:r>
        <w:rPr>
          <w:rFonts w:hint="eastAsia" w:ascii="仿宋_GB2312" w:hAnsi="Calibri" w:eastAsia="仿宋_GB2312" w:cs="Times New Roman"/>
          <w:color w:val="auto"/>
          <w:kern w:val="2"/>
          <w:sz w:val="32"/>
          <w:szCs w:val="32"/>
          <w:lang w:val="en-US" w:eastAsia="zh-CN" w:bidi="ar-SA"/>
        </w:rPr>
        <w:t>5万m</w:t>
      </w:r>
      <w:r>
        <w:rPr>
          <w:rFonts w:hint="eastAsia" w:hAnsi="Calibri" w:cs="Times New Roman"/>
          <w:color w:val="auto"/>
          <w:kern w:val="2"/>
          <w:sz w:val="32"/>
          <w:szCs w:val="32"/>
          <w:vertAlign w:val="superscript"/>
          <w:lang w:val="en-US" w:eastAsia="zh-CN" w:bidi="ar-SA"/>
        </w:rPr>
        <w:t>3</w:t>
      </w:r>
      <w:r>
        <w:rPr>
          <w:rFonts w:hint="eastAsia" w:ascii="仿宋_GB2312" w:hAnsi="Calibri" w:eastAsia="仿宋_GB2312" w:cs="Times New Roman"/>
          <w:color w:val="auto"/>
          <w:kern w:val="2"/>
          <w:sz w:val="32"/>
          <w:szCs w:val="32"/>
          <w:lang w:val="en-US" w:eastAsia="zh-CN" w:bidi="ar-SA"/>
        </w:rPr>
        <w:t>/d，处理工艺为“预氧化+机械搅拌混合网格絮凝新型气浮沉淀池+V型滤池+清水池”</w:t>
      </w:r>
      <w:r>
        <w:rPr>
          <w:rFonts w:hint="eastAsia" w:hAnsi="Calibri" w:cs="Times New Roman"/>
          <w:color w:val="auto"/>
          <w:kern w:val="2"/>
          <w:sz w:val="32"/>
          <w:szCs w:val="32"/>
          <w:lang w:val="en-US" w:eastAsia="zh-CN" w:bidi="ar-SA"/>
        </w:rPr>
        <w:t>，出水水质满足《石油化工给水排水水质标准》（SH/T3099-2021）第5.2.3条生产给水的主要水质指标</w:t>
      </w:r>
      <w:r>
        <w:rPr>
          <w:rFonts w:hint="eastAsia" w:ascii="仿宋_GB2312" w:hAnsi="Calibri" w:eastAsia="仿宋_GB2312" w:cs="Times New Roman"/>
          <w:color w:val="auto"/>
          <w:kern w:val="2"/>
          <w:sz w:val="32"/>
          <w:szCs w:val="32"/>
          <w:lang w:val="en-US" w:eastAsia="zh-CN" w:bidi="ar-SA"/>
        </w:rPr>
        <w:t>。主要建设内容：综合净水间</w:t>
      </w:r>
      <w:r>
        <w:rPr>
          <w:rFonts w:hint="eastAsia" w:hAnsi="Calibri" w:cs="Times New Roman"/>
          <w:color w:val="auto"/>
          <w:kern w:val="2"/>
          <w:sz w:val="32"/>
          <w:szCs w:val="32"/>
          <w:lang w:val="en-US" w:eastAsia="zh-CN" w:bidi="ar-SA"/>
        </w:rPr>
        <w:t>，包括</w:t>
      </w:r>
      <w:r>
        <w:rPr>
          <w:rFonts w:hint="default" w:ascii="仿宋_GB2312" w:hAnsi="Calibri" w:eastAsia="仿宋_GB2312" w:cs="Times New Roman"/>
          <w:color w:val="auto"/>
          <w:kern w:val="2"/>
          <w:sz w:val="32"/>
          <w:szCs w:val="32"/>
          <w:lang w:val="en-US" w:eastAsia="zh-CN" w:bidi="ar-SA"/>
        </w:rPr>
        <w:t>机械搅拌混合、网格絮凝气浮沉淀池</w:t>
      </w:r>
      <w:r>
        <w:rPr>
          <w:rFonts w:hint="eastAsia" w:ascii="仿宋_GB2312" w:hAnsi="Calibri"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V型滤池</w:t>
      </w:r>
      <w:r>
        <w:rPr>
          <w:rFonts w:hint="eastAsia" w:ascii="仿宋_GB2312" w:hAnsi="Calibri"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反冲洗泵、回流泵</w:t>
      </w:r>
      <w:r>
        <w:rPr>
          <w:rFonts w:hint="eastAsia" w:ascii="仿宋_GB2312" w:hAnsi="Calibri" w:eastAsia="仿宋_GB2312" w:cs="Times New Roman"/>
          <w:color w:val="auto"/>
          <w:kern w:val="2"/>
          <w:sz w:val="32"/>
          <w:szCs w:val="32"/>
          <w:lang w:val="en-US" w:eastAsia="zh-CN" w:bidi="ar-SA"/>
        </w:rPr>
        <w:t>房、</w:t>
      </w:r>
      <w:r>
        <w:rPr>
          <w:rFonts w:hint="default" w:ascii="仿宋_GB2312" w:hAnsi="Calibri" w:eastAsia="仿宋_GB2312" w:cs="Times New Roman"/>
          <w:color w:val="auto"/>
          <w:kern w:val="2"/>
          <w:sz w:val="32"/>
          <w:szCs w:val="32"/>
          <w:lang w:val="en-US" w:eastAsia="zh-CN" w:bidi="ar-SA"/>
        </w:rPr>
        <w:t>吸水池</w:t>
      </w:r>
      <w:r>
        <w:rPr>
          <w:rFonts w:hint="eastAsia" w:ascii="仿宋_GB2312" w:hAnsi="Calibri"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加药、储药</w:t>
      </w:r>
      <w:r>
        <w:rPr>
          <w:rFonts w:hint="eastAsia" w:ascii="仿宋_GB2312" w:hAnsi="Calibri" w:eastAsia="仿宋_GB2312" w:cs="Times New Roman"/>
          <w:color w:val="auto"/>
          <w:kern w:val="2"/>
          <w:sz w:val="32"/>
          <w:szCs w:val="32"/>
          <w:lang w:val="en-US" w:eastAsia="zh-CN" w:bidi="ar-SA"/>
        </w:rPr>
        <w:t>间、</w:t>
      </w:r>
      <w:r>
        <w:rPr>
          <w:rFonts w:hint="default" w:ascii="仿宋_GB2312" w:hAnsi="Calibri" w:eastAsia="仿宋_GB2312" w:cs="Times New Roman"/>
          <w:color w:val="auto"/>
          <w:kern w:val="2"/>
          <w:sz w:val="32"/>
          <w:szCs w:val="32"/>
          <w:lang w:val="en-US" w:eastAsia="zh-CN" w:bidi="ar-SA"/>
        </w:rPr>
        <w:t>排泥排渣水沉淀池</w:t>
      </w:r>
      <w:r>
        <w:rPr>
          <w:rFonts w:hint="eastAsia" w:ascii="仿宋_GB2312" w:hAnsi="Calibri" w:eastAsia="仿宋_GB2312" w:cs="Times New Roman"/>
          <w:color w:val="auto"/>
          <w:kern w:val="2"/>
          <w:sz w:val="32"/>
          <w:szCs w:val="32"/>
          <w:lang w:val="en-US" w:eastAsia="zh-CN" w:bidi="ar-SA"/>
        </w:rPr>
        <w:t>；污泥脱水间</w:t>
      </w:r>
      <w:r>
        <w:rPr>
          <w:rFonts w:hint="eastAsia" w:hAnsi="Calibri" w:cs="Times New Roman"/>
          <w:color w:val="auto"/>
          <w:kern w:val="2"/>
          <w:sz w:val="32"/>
          <w:szCs w:val="32"/>
          <w:lang w:val="en-US" w:eastAsia="zh-CN" w:bidi="ar-SA"/>
        </w:rPr>
        <w:t>（含有</w:t>
      </w:r>
      <w:r>
        <w:rPr>
          <w:rFonts w:hint="eastAsia" w:ascii="仿宋_GB2312" w:hAnsi="Calibri" w:eastAsia="仿宋_GB2312" w:cs="Times New Roman"/>
          <w:color w:val="auto"/>
          <w:kern w:val="2"/>
          <w:sz w:val="32"/>
          <w:szCs w:val="32"/>
          <w:lang w:val="en-US" w:eastAsia="zh-CN" w:bidi="ar-SA"/>
        </w:rPr>
        <w:t>储泥池</w:t>
      </w:r>
      <w:r>
        <w:rPr>
          <w:rFonts w:hint="eastAsia" w:hAnsi="Calibri" w:cs="Times New Roman"/>
          <w:color w:val="auto"/>
          <w:kern w:val="2"/>
          <w:sz w:val="32"/>
          <w:szCs w:val="32"/>
          <w:lang w:val="en-US" w:eastAsia="zh-CN" w:bidi="ar-SA"/>
        </w:rPr>
        <w:t>及脱水机房）</w:t>
      </w:r>
      <w:r>
        <w:rPr>
          <w:rFonts w:hint="eastAsia" w:ascii="仿宋_GB2312" w:hAnsi="Calibri" w:eastAsia="仿宋_GB2312" w:cs="Times New Roman"/>
          <w:color w:val="auto"/>
          <w:kern w:val="2"/>
          <w:sz w:val="32"/>
          <w:szCs w:val="32"/>
          <w:lang w:val="en-US" w:eastAsia="zh-CN" w:bidi="ar-SA"/>
        </w:rPr>
        <w:t>；废水回收池</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污泥调节池</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清水池</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送水泵房</w:t>
      </w:r>
      <w:r>
        <w:rPr>
          <w:rFonts w:hint="eastAsia" w:hAnsi="Calibri" w:cs="Times New Roman"/>
          <w:color w:val="auto"/>
          <w:kern w:val="2"/>
          <w:sz w:val="32"/>
          <w:szCs w:val="32"/>
          <w:lang w:val="en-US" w:eastAsia="zh-CN" w:bidi="ar-SA"/>
        </w:rPr>
        <w:t>（地下5m，地上7m）、吸水池、吸水井（地下4m）。辅助工程：综合楼</w:t>
      </w:r>
      <w:r>
        <w:rPr>
          <w:rFonts w:hint="default" w:ascii="仿宋_GB2312" w:hAnsi="Calibri" w:eastAsia="仿宋_GB2312" w:cs="Times New Roman"/>
          <w:color w:val="auto"/>
          <w:kern w:val="2"/>
          <w:sz w:val="32"/>
          <w:szCs w:val="32"/>
          <w:lang w:val="en-US" w:eastAsia="zh-CN" w:bidi="ar-SA"/>
        </w:rPr>
        <w:t>，含食堂，休息室，办公室</w:t>
      </w:r>
      <w:r>
        <w:rPr>
          <w:rFonts w:hint="eastAsia" w:ascii="仿宋_GB2312" w:hAnsi="Calibri" w:eastAsia="仿宋_GB2312" w:cs="Times New Roman"/>
          <w:color w:val="auto"/>
          <w:kern w:val="2"/>
          <w:sz w:val="32"/>
          <w:szCs w:val="32"/>
          <w:lang w:val="en-US" w:eastAsia="zh-CN" w:bidi="ar-SA"/>
        </w:rPr>
        <w:t>、化验室（用于出水水质化验</w:t>
      </w:r>
      <w:r>
        <w:rPr>
          <w:rFonts w:hint="eastAsia" w:hAnsi="Calibri" w:cs="Times New Roman"/>
          <w:color w:val="auto"/>
          <w:kern w:val="2"/>
          <w:sz w:val="32"/>
          <w:szCs w:val="32"/>
          <w:lang w:val="en-US" w:eastAsia="zh-CN" w:bidi="ar-SA"/>
        </w:rPr>
        <w:t>，设置0.2m</w:t>
      </w:r>
      <w:r>
        <w:rPr>
          <w:rFonts w:hint="eastAsia" w:hAnsi="Calibri" w:cs="Times New Roman"/>
          <w:color w:val="auto"/>
          <w:kern w:val="2"/>
          <w:sz w:val="32"/>
          <w:szCs w:val="32"/>
          <w:vertAlign w:val="superscript"/>
          <w:lang w:val="en-US" w:eastAsia="zh-CN" w:bidi="ar-SA"/>
        </w:rPr>
        <w:t>3</w:t>
      </w:r>
      <w:r>
        <w:rPr>
          <w:rFonts w:hint="eastAsia" w:hAnsi="Calibri" w:cs="Times New Roman"/>
          <w:color w:val="auto"/>
          <w:kern w:val="2"/>
          <w:sz w:val="32"/>
          <w:szCs w:val="32"/>
          <w:lang w:val="en-US" w:eastAsia="zh-CN" w:bidi="ar-SA"/>
        </w:rPr>
        <w:t>的废水中和罐</w:t>
      </w:r>
      <w:r>
        <w:rPr>
          <w:rFonts w:hint="eastAsia" w:ascii="仿宋_GB2312" w:hAnsi="Calibri" w:eastAsia="仿宋_GB2312" w:cs="Times New Roman"/>
          <w:color w:val="auto"/>
          <w:kern w:val="2"/>
          <w:sz w:val="32"/>
          <w:szCs w:val="32"/>
          <w:lang w:val="en-US" w:eastAsia="zh-CN" w:bidi="ar-SA"/>
        </w:rPr>
        <w:t>）</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1楼</w:t>
      </w:r>
      <w:r>
        <w:rPr>
          <w:rFonts w:hint="eastAsia" w:hAnsi="Calibri" w:cs="Times New Roman"/>
          <w:color w:val="auto"/>
          <w:kern w:val="2"/>
          <w:sz w:val="32"/>
          <w:szCs w:val="32"/>
          <w:lang w:val="en-US" w:eastAsia="zh-CN" w:bidi="ar-SA"/>
        </w:rPr>
        <w:t>设</w:t>
      </w:r>
      <w:r>
        <w:rPr>
          <w:rFonts w:hint="eastAsia" w:ascii="仿宋_GB2312" w:hAnsi="Calibri" w:eastAsia="仿宋_GB2312" w:cs="Times New Roman"/>
          <w:color w:val="auto"/>
          <w:kern w:val="2"/>
          <w:sz w:val="32"/>
          <w:szCs w:val="32"/>
          <w:lang w:val="en-US" w:eastAsia="zh-CN" w:bidi="ar-SA"/>
        </w:rPr>
        <w:t>危废贮存点，占地面积5m</w:t>
      </w:r>
      <w:r>
        <w:rPr>
          <w:rFonts w:hint="eastAsia" w:ascii="仿宋_GB2312" w:hAnsi="Calibri" w:eastAsia="仿宋_GB2312" w:cs="Times New Roman"/>
          <w:color w:val="auto"/>
          <w:kern w:val="2"/>
          <w:sz w:val="32"/>
          <w:szCs w:val="32"/>
          <w:vertAlign w:val="superscript"/>
          <w:lang w:val="en-US" w:eastAsia="zh-CN" w:bidi="ar-SA"/>
        </w:rPr>
        <w:t>2</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门卫室。本项目集中供热</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新增占地面积27428m</w:t>
      </w:r>
      <w:r>
        <w:rPr>
          <w:rFonts w:hint="eastAsia" w:ascii="仿宋_GB2312" w:hAnsi="Calibri" w:eastAsia="仿宋_GB2312" w:cs="Times New Roman"/>
          <w:color w:val="auto"/>
          <w:kern w:val="2"/>
          <w:sz w:val="32"/>
          <w:szCs w:val="32"/>
          <w:vertAlign w:val="superscript"/>
          <w:lang w:val="en-US" w:eastAsia="zh-CN" w:bidi="ar-SA"/>
        </w:rPr>
        <w:t>2</w:t>
      </w:r>
      <w:r>
        <w:rPr>
          <w:rFonts w:hint="eastAsia" w:hAnsi="Calibri" w:cs="Times New Roman"/>
          <w:color w:val="auto"/>
          <w:kern w:val="2"/>
          <w:sz w:val="32"/>
          <w:szCs w:val="32"/>
          <w:vertAlign w:val="superscript"/>
          <w:lang w:val="en-US" w:eastAsia="zh-CN" w:bidi="ar-SA"/>
        </w:rPr>
        <w:t>，</w:t>
      </w:r>
      <w:r>
        <w:rPr>
          <w:rFonts w:hint="eastAsia" w:ascii="仿宋_GB2312" w:hAnsi="Calibri" w:eastAsia="仿宋_GB2312" w:cs="Times New Roman"/>
          <w:color w:val="auto"/>
          <w:kern w:val="2"/>
          <w:sz w:val="32"/>
          <w:szCs w:val="32"/>
          <w:lang w:val="en-US" w:eastAsia="zh-CN" w:bidi="ar-SA"/>
        </w:rPr>
        <w:t>新增劳动定员10人，</w:t>
      </w:r>
      <w:r>
        <w:rPr>
          <w:rFonts w:hint="default" w:ascii="仿宋_GB2312" w:hAnsi="Calibri" w:eastAsia="仿宋_GB2312" w:cs="Times New Roman"/>
          <w:color w:val="auto"/>
          <w:kern w:val="2"/>
          <w:sz w:val="32"/>
          <w:szCs w:val="32"/>
          <w:lang w:val="en-US" w:eastAsia="zh-CN" w:bidi="ar-SA"/>
        </w:rPr>
        <w:t>年工作</w:t>
      </w:r>
      <w:r>
        <w:rPr>
          <w:rFonts w:hint="eastAsia" w:ascii="仿宋_GB2312" w:hAnsi="Calibri" w:eastAsia="仿宋_GB2312" w:cs="Times New Roman"/>
          <w:color w:val="auto"/>
          <w:kern w:val="2"/>
          <w:sz w:val="32"/>
          <w:szCs w:val="32"/>
          <w:lang w:val="en-US" w:eastAsia="zh-CN" w:bidi="ar-SA"/>
        </w:rPr>
        <w:t>365</w:t>
      </w:r>
      <w:r>
        <w:rPr>
          <w:rFonts w:hint="default" w:ascii="仿宋_GB2312" w:hAnsi="Calibri" w:eastAsia="仿宋_GB2312" w:cs="Times New Roman"/>
          <w:color w:val="auto"/>
          <w:kern w:val="2"/>
          <w:sz w:val="32"/>
          <w:szCs w:val="32"/>
          <w:lang w:val="en-US" w:eastAsia="zh-CN" w:bidi="ar-SA"/>
        </w:rPr>
        <w:t>天，</w:t>
      </w:r>
      <w:r>
        <w:rPr>
          <w:rFonts w:hint="eastAsia" w:ascii="仿宋_GB2312" w:hAnsi="Calibri" w:eastAsia="仿宋_GB2312" w:cs="Times New Roman"/>
          <w:color w:val="auto"/>
          <w:kern w:val="2"/>
          <w:sz w:val="32"/>
          <w:szCs w:val="32"/>
          <w:lang w:val="en-US" w:eastAsia="zh-CN" w:bidi="ar-SA"/>
        </w:rPr>
        <w:t>三班制，</w:t>
      </w:r>
      <w:r>
        <w:rPr>
          <w:rFonts w:hint="default" w:ascii="仿宋_GB2312" w:hAnsi="Calibri" w:eastAsia="仿宋_GB2312" w:cs="Times New Roman"/>
          <w:color w:val="auto"/>
          <w:kern w:val="2"/>
          <w:sz w:val="32"/>
          <w:szCs w:val="32"/>
          <w:lang w:val="en-US" w:eastAsia="zh-CN" w:bidi="ar-SA"/>
        </w:rPr>
        <w:t>每天工作8小时。</w:t>
      </w:r>
      <w:r>
        <w:rPr>
          <w:rFonts w:hint="eastAsia" w:ascii="仿宋_GB2312" w:hAnsi="Calibri" w:eastAsia="仿宋_GB2312" w:cs="Times New Roman"/>
          <w:color w:val="auto"/>
          <w:kern w:val="2"/>
          <w:sz w:val="32"/>
          <w:szCs w:val="32"/>
          <w:lang w:val="en-US" w:eastAsia="zh-CN" w:bidi="ar-SA"/>
        </w:rPr>
        <w:t>项目总投资21016.59万元，其中环保投资55万元。本项目</w:t>
      </w:r>
      <w:r>
        <w:rPr>
          <w:rFonts w:hint="eastAsia" w:hAnsi="Calibri" w:cs="Times New Roman"/>
          <w:color w:val="auto"/>
          <w:kern w:val="2"/>
          <w:sz w:val="32"/>
          <w:szCs w:val="32"/>
          <w:lang w:val="en-US" w:eastAsia="zh-CN" w:bidi="ar-SA"/>
        </w:rPr>
        <w:t>不包括</w:t>
      </w:r>
      <w:r>
        <w:rPr>
          <w:rFonts w:hint="eastAsia" w:ascii="仿宋_GB2312" w:hAnsi="Calibri" w:eastAsia="仿宋_GB2312" w:cs="Times New Roman"/>
          <w:color w:val="auto"/>
          <w:kern w:val="2"/>
          <w:sz w:val="32"/>
          <w:szCs w:val="32"/>
          <w:lang w:val="en-US" w:eastAsia="zh-CN" w:bidi="ar-SA"/>
        </w:rPr>
        <w:t>配水管网</w:t>
      </w:r>
      <w:r>
        <w:rPr>
          <w:rFonts w:hint="eastAsia" w:hAnsi="Calibri" w:cs="Times New Roman"/>
          <w:color w:val="auto"/>
          <w:kern w:val="2"/>
          <w:sz w:val="32"/>
          <w:szCs w:val="32"/>
          <w:lang w:val="en-US" w:eastAsia="zh-CN" w:bidi="ar-SA"/>
        </w:rPr>
        <w:t>及供水</w:t>
      </w:r>
      <w:r>
        <w:rPr>
          <w:rFonts w:hint="eastAsia" w:ascii="仿宋_GB2312" w:hAnsi="Calibri" w:eastAsia="仿宋_GB2312" w:cs="Times New Roman"/>
          <w:color w:val="auto"/>
          <w:kern w:val="2"/>
          <w:sz w:val="32"/>
          <w:szCs w:val="32"/>
          <w:lang w:val="en-US" w:eastAsia="zh-CN" w:bidi="ar-SA"/>
        </w:rPr>
        <w:t>工程</w:t>
      </w:r>
      <w:r>
        <w:rPr>
          <w:rFonts w:hint="eastAsia" w:hAnsi="Calibri" w:cs="Times New Roman"/>
          <w:color w:val="auto"/>
          <w:kern w:val="2"/>
          <w:sz w:val="32"/>
          <w:szCs w:val="32"/>
          <w:lang w:val="en-US" w:eastAsia="zh-CN" w:bidi="ar-SA"/>
        </w:rPr>
        <w:t>评价内容</w:t>
      </w:r>
      <w:r>
        <w:rPr>
          <w:rFonts w:hint="eastAsia" w:ascii="仿宋_GB2312" w:hAnsi="Calibri" w:eastAsia="仿宋_GB2312" w:cs="Times New Roman"/>
          <w:color w:val="auto"/>
          <w:kern w:val="2"/>
          <w:sz w:val="32"/>
          <w:szCs w:val="32"/>
          <w:lang w:val="en-US" w:eastAsia="zh-CN" w:bidi="ar-SA"/>
        </w:rPr>
        <w:t>。根据环境影响报告表评价结论和技术评估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180B104A">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二、项目建设应重点做好以下工作：</w:t>
      </w:r>
    </w:p>
    <w:p w14:paraId="355CCA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1、加强建设期环境管理。施工现场设置围挡，</w:t>
      </w:r>
      <w:r>
        <w:rPr>
          <w:color w:val="auto"/>
          <w:u w:val="none"/>
          <w:lang w:val="zh-CN"/>
        </w:rPr>
        <w:t>设材料仓库</w:t>
      </w:r>
      <w:r>
        <w:rPr>
          <w:rFonts w:hint="eastAsia"/>
          <w:color w:val="auto"/>
          <w:u w:val="none"/>
          <w:lang w:val="zh-CN"/>
        </w:rPr>
        <w:t>，</w:t>
      </w:r>
      <w:r>
        <w:rPr>
          <w:rFonts w:hint="eastAsia"/>
          <w:color w:val="auto"/>
          <w:u w:val="none"/>
          <w:lang w:val="en-US" w:eastAsia="zh-CN"/>
        </w:rPr>
        <w:t>禁止砂石料、水泥露天堆放。</w:t>
      </w:r>
      <w:r>
        <w:rPr>
          <w:rFonts w:hint="eastAsia"/>
          <w:color w:val="auto"/>
          <w:sz w:val="32"/>
          <w:szCs w:val="32"/>
          <w:lang w:val="en-US" w:eastAsia="zh-CN"/>
        </w:rPr>
        <w:t>生活污水</w:t>
      </w:r>
      <w:r>
        <w:rPr>
          <w:rFonts w:hint="eastAsia" w:cs="Times New Roman"/>
          <w:color w:val="auto"/>
          <w:sz w:val="32"/>
          <w:szCs w:val="32"/>
          <w:highlight w:val="none"/>
          <w:lang w:val="en-US" w:eastAsia="zh-CN"/>
        </w:rPr>
        <w:t>经园区污水管网排入吉林市金珠污水处理厂</w:t>
      </w:r>
      <w:r>
        <w:rPr>
          <w:rFonts w:hint="eastAsia" w:cs="Times New Roman"/>
          <w:color w:val="auto"/>
          <w:sz w:val="32"/>
          <w:szCs w:val="32"/>
          <w:lang w:val="en-US" w:eastAsia="zh-CN"/>
        </w:rPr>
        <w:t>；施工废水经临时沉淀池沉淀后回用于洒水抑尘。</w:t>
      </w:r>
      <w:r>
        <w:rPr>
          <w:rFonts w:hint="eastAsia"/>
          <w:color w:val="auto"/>
          <w:sz w:val="32"/>
          <w:szCs w:val="32"/>
          <w:lang w:val="en-US" w:eastAsia="zh-CN"/>
        </w:rPr>
        <w:t>施工期建筑垃圾集中收集，运送至建筑垃圾指定堆放点；生活垃圾集中收集后由环卫部门定期清运。施工器械不在厂区内维修。使用低噪声施工机械，控制施工期噪声符合《建筑施工场界环境噪声排放标准》（GB12523-2011）要求，将项目建设对外界环境影响降至最低。落实施工期的各项污染防治措施，防止发生环境污染和扰民事件。</w:t>
      </w:r>
    </w:p>
    <w:p w14:paraId="6762274E">
      <w:pPr>
        <w:keepNext w:val="0"/>
        <w:keepLines w:val="0"/>
        <w:pageBreakBefore w:val="0"/>
        <w:kinsoku/>
        <w:wordWrap/>
        <w:overflowPunct/>
        <w:topLinePunct w:val="0"/>
        <w:bidi w:val="0"/>
        <w:snapToGrid/>
        <w:spacing w:line="480" w:lineRule="exact"/>
        <w:ind w:firstLine="539" w:firstLineChars="0"/>
        <w:textAlignment w:val="auto"/>
        <w:rPr>
          <w:rFonts w:hint="default" w:cs="Times New Roman"/>
          <w:color w:val="auto"/>
          <w:sz w:val="32"/>
          <w:szCs w:val="32"/>
          <w:highlight w:val="none"/>
          <w:lang w:val="en-US" w:eastAsia="zh-CN"/>
        </w:rPr>
      </w:pPr>
      <w:r>
        <w:rPr>
          <w:rFonts w:hint="eastAsia"/>
          <w:color w:val="auto"/>
          <w:sz w:val="32"/>
          <w:szCs w:val="32"/>
          <w:lang w:val="en-US" w:eastAsia="zh-CN"/>
        </w:rPr>
        <w:t>2、</w:t>
      </w:r>
      <w:r>
        <w:rPr>
          <w:rFonts w:hint="eastAsia" w:cs="Times New Roman"/>
          <w:color w:val="auto"/>
          <w:sz w:val="32"/>
          <w:szCs w:val="32"/>
          <w:highlight w:val="none"/>
          <w:lang w:val="en-US" w:eastAsia="zh-CN"/>
        </w:rPr>
        <w:t>本项目滤池反冲洗水回用不外排；餐饮污水经油水分离器处理后与职工生活污水、工艺废水（排泥、排渣水+调节池上清液+污泥脱水滤液）、经中和处理后的化验室废水同经园区污水管网排入吉林市金珠污水处理厂处理达标后排放。本项目出厂废水须满足吉林市金珠污水处理厂收水协议标准即《污水综合排放标准》（GB8978-1996）中三级排放标准，其中氨氮排放参照</w:t>
      </w:r>
      <w:r>
        <w:rPr>
          <w:rFonts w:hint="eastAsia" w:cs="Times New Roman"/>
          <w:color w:val="auto"/>
          <w:sz w:val="32"/>
          <w:szCs w:val="32"/>
          <w:highlight w:val="none"/>
          <w:lang w:val="zh-CN" w:eastAsia="zh-CN"/>
        </w:rPr>
        <w:t>《污水排入城镇下水道水质标准</w:t>
      </w:r>
      <w:r>
        <w:rPr>
          <w:rFonts w:hint="eastAsia" w:cs="Times New Roman"/>
          <w:color w:val="auto"/>
          <w:sz w:val="32"/>
          <w:szCs w:val="32"/>
          <w:highlight w:val="none"/>
          <w:lang w:val="en-US" w:eastAsia="zh-CN"/>
        </w:rPr>
        <w:t>》（GB/T31962-2015）</w:t>
      </w:r>
      <w:r>
        <w:rPr>
          <w:rFonts w:hint="eastAsia" w:cs="Times New Roman"/>
          <w:color w:val="auto"/>
          <w:sz w:val="32"/>
          <w:szCs w:val="32"/>
          <w:highlight w:val="none"/>
          <w:lang w:val="zh-CN" w:eastAsia="zh-CN"/>
        </w:rPr>
        <w:t>B等</w:t>
      </w:r>
      <w:r>
        <w:rPr>
          <w:rFonts w:hint="eastAsia" w:cs="Times New Roman"/>
          <w:color w:val="auto"/>
          <w:sz w:val="32"/>
          <w:szCs w:val="32"/>
          <w:highlight w:val="none"/>
          <w:lang w:val="en-US" w:eastAsia="zh-CN"/>
        </w:rPr>
        <w:t>级标准，吉林市金珠污水处理厂处理后排入松花江废水水质须满足《城镇污水处理厂污染物排放标准》（GB18918-2002）中一级（A）标准。</w:t>
      </w:r>
    </w:p>
    <w:p w14:paraId="3371E66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3、本项目运营期化验室产生的极少量的硫酸雾及HCl通过通风柜收集后引至楼顶通过排气口无组织排放；餐饮油烟废气经油烟净化器处理后排放。加强管理，确保化验室废气排放满足《大气污染物综合排放标准》（GB16297-1996）表2无组织排放监控浓度限值；餐饮油烟废气排放满足《饮食业油烟排放标准》（GB18483-2001）相关要求。</w:t>
      </w:r>
    </w:p>
    <w:p w14:paraId="6F3621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4、优先选用低噪音设备，采取有效的隔声减振措施，确保厂界噪声符合《工业企业厂界环境噪声排放标准》（GB12348-2008）中3类（东、西、南侧）、4类（北侧）声环境功能区限值。</w:t>
      </w:r>
    </w:p>
    <w:p w14:paraId="1EC4AC6A">
      <w:pPr>
        <w:keepNext w:val="0"/>
        <w:keepLines w:val="0"/>
        <w:pageBreakBefore w:val="0"/>
        <w:widowControl/>
        <w:suppressLineNumbers w:val="0"/>
        <w:kinsoku/>
        <w:wordWrap/>
        <w:overflowPunct/>
        <w:topLinePunct w:val="0"/>
        <w:bidi w:val="0"/>
        <w:snapToGrid/>
        <w:spacing w:line="480" w:lineRule="exact"/>
        <w:jc w:val="left"/>
        <w:textAlignment w:val="auto"/>
        <w:rPr>
          <w:rFonts w:hint="eastAsia" w:hAnsi="Calibri" w:cs="Times New Roman"/>
          <w:color w:val="auto"/>
          <w:kern w:val="2"/>
          <w:sz w:val="32"/>
          <w:szCs w:val="32"/>
          <w:lang w:val="en-US" w:eastAsia="zh-CN" w:bidi="ar-SA"/>
        </w:rPr>
      </w:pPr>
      <w:r>
        <w:rPr>
          <w:rFonts w:hint="eastAsia"/>
          <w:color w:val="auto"/>
          <w:sz w:val="32"/>
          <w:szCs w:val="32"/>
          <w:lang w:val="en-US" w:eastAsia="zh-CN"/>
        </w:rPr>
        <w:t>5、</w:t>
      </w:r>
      <w:r>
        <w:rPr>
          <w:rFonts w:hint="eastAsia" w:ascii="仿宋_GB2312" w:eastAsia="仿宋_GB2312"/>
          <w:color w:val="auto"/>
          <w:sz w:val="32"/>
          <w:szCs w:val="32"/>
          <w:lang w:val="en-US" w:eastAsia="zh-CN"/>
        </w:rPr>
        <w:t>严格按照有关规定，对固体废物实施分类处理、处置，做到“减量化、资源化、无害化”</w:t>
      </w:r>
      <w:r>
        <w:rPr>
          <w:rFonts w:hint="eastAsia"/>
          <w:color w:val="auto"/>
          <w:sz w:val="32"/>
          <w:szCs w:val="32"/>
          <w:lang w:val="en-US" w:eastAsia="zh-CN"/>
        </w:rPr>
        <w:t>。本项目设备维修过程产生的废机油、化验室废液和化验室废瓶均由密封桶装暂存于危废贮存点，其中废机油及化验室废液桶底部设置托盘，均定期交由有危险废物处置资质的单位进行处理；脱水后的污泥装入编织袋内在污泥脱水间内暂存，定期委托具备相关资质的单位处理；废包装集中收集后暂存于投药间内，定期外售处理；</w:t>
      </w:r>
      <w:r>
        <w:rPr>
          <w:rFonts w:hint="eastAsia" w:cs="Times New Roman"/>
          <w:highlight w:val="none"/>
          <w:lang w:val="en-US" w:eastAsia="zh-CN"/>
        </w:rPr>
        <w:t>生活垃圾统一收集后由环卫部门定期处理。加强管理，固体废物收集、储存和转移措施必须严格执行《一般工业固体废物贮存和填埋污染控制标准》（GB18599-2020）、《危险废物收集、贮存、运输技术规范》（HJ 2025-2012）、《危险废物转移管理办法》《危险废物贮存污染控制标准》（GB18597-2023）</w:t>
      </w:r>
      <w:r>
        <w:rPr>
          <w:rFonts w:hint="eastAsia" w:ascii="仿宋_GB2312" w:hAnsi="Calibri" w:eastAsia="仿宋_GB2312" w:cs="Times New Roman"/>
          <w:color w:val="auto"/>
          <w:kern w:val="2"/>
          <w:sz w:val="32"/>
          <w:szCs w:val="32"/>
          <w:lang w:val="en-US" w:eastAsia="zh-CN" w:bidi="ar-SA"/>
        </w:rPr>
        <w:t>等技术规范及标准要求</w:t>
      </w:r>
      <w:r>
        <w:rPr>
          <w:rFonts w:hint="eastAsia" w:hAnsi="Calibri" w:cs="Times New Roman"/>
          <w:color w:val="auto"/>
          <w:kern w:val="2"/>
          <w:sz w:val="32"/>
          <w:szCs w:val="32"/>
          <w:lang w:val="en-US" w:eastAsia="zh-CN" w:bidi="ar-SA"/>
        </w:rPr>
        <w:t>。</w:t>
      </w:r>
    </w:p>
    <w:p w14:paraId="77F6BA1B">
      <w:pPr>
        <w:keepNext w:val="0"/>
        <w:keepLines w:val="0"/>
        <w:pageBreakBefore w:val="0"/>
        <w:widowControl/>
        <w:suppressLineNumbers w:val="0"/>
        <w:kinsoku/>
        <w:wordWrap/>
        <w:overflowPunct/>
        <w:topLinePunct w:val="0"/>
        <w:bidi w:val="0"/>
        <w:snapToGrid/>
        <w:spacing w:line="480" w:lineRule="exact"/>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危险废物按种类分别存放，危险废物的容器和包装物必须设置危险废物识别标志。收集、贮存、运输、利用、处置危险废物的设施、场所，必须设置危险废物识别标志。禁止乱堆、乱弃</w:t>
      </w:r>
      <w:r>
        <w:rPr>
          <w:rFonts w:hint="eastAsia" w:hAnsi="Calibri" w:cs="Times New Roman"/>
          <w:color w:val="auto"/>
          <w:kern w:val="2"/>
          <w:sz w:val="32"/>
          <w:szCs w:val="32"/>
          <w:lang w:val="en-US" w:eastAsia="zh-CN" w:bidi="ar-SA"/>
        </w:rPr>
        <w:t>及</w:t>
      </w:r>
      <w:r>
        <w:rPr>
          <w:rFonts w:hint="eastAsia" w:ascii="仿宋_GB2312" w:hAnsi="Calibri" w:eastAsia="仿宋_GB2312" w:cs="Times New Roman"/>
          <w:color w:val="auto"/>
          <w:kern w:val="2"/>
          <w:sz w:val="32"/>
          <w:szCs w:val="32"/>
          <w:lang w:val="en-US" w:eastAsia="zh-CN" w:bidi="ar-SA"/>
        </w:rPr>
        <w:t>露天存放。　</w:t>
      </w:r>
    </w:p>
    <w:p w14:paraId="7F74E96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hAnsi="Calibri" w:cs="Times New Roman"/>
          <w:color w:val="auto"/>
          <w:kern w:val="2"/>
          <w:sz w:val="32"/>
          <w:szCs w:val="32"/>
          <w:lang w:val="en-US" w:eastAsia="zh-CN" w:bidi="ar-SA"/>
        </w:rPr>
        <w:t>6</w:t>
      </w:r>
      <w:r>
        <w:rPr>
          <w:rFonts w:hint="eastAsia" w:ascii="仿宋_GB2312" w:hAnsi="Calibri" w:eastAsia="仿宋_GB2312" w:cs="Times New Roman"/>
          <w:color w:val="auto"/>
          <w:kern w:val="2"/>
          <w:sz w:val="32"/>
          <w:szCs w:val="32"/>
          <w:lang w:val="en-US" w:eastAsia="zh-CN" w:bidi="ar-SA"/>
        </w:rPr>
        <w:t>、严格落实环评报告表中的风险防范和应急措施。</w:t>
      </w:r>
      <w:r>
        <w:rPr>
          <w:rFonts w:hint="eastAsia" w:hAnsi="Calibri" w:cs="Times New Roman"/>
          <w:color w:val="auto"/>
          <w:kern w:val="2"/>
          <w:sz w:val="32"/>
          <w:szCs w:val="32"/>
          <w:lang w:val="en-US" w:eastAsia="zh-CN" w:bidi="ar-SA"/>
        </w:rPr>
        <w:t>制定</w:t>
      </w:r>
      <w:r>
        <w:rPr>
          <w:rFonts w:hint="eastAsia" w:ascii="仿宋_GB2312" w:hAnsi="Calibri" w:eastAsia="仿宋_GB2312" w:cs="Times New Roman"/>
          <w:color w:val="auto"/>
          <w:kern w:val="2"/>
          <w:sz w:val="32"/>
          <w:szCs w:val="32"/>
          <w:lang w:val="en-US" w:eastAsia="zh-CN" w:bidi="ar-SA"/>
        </w:rPr>
        <w:t>污染事故防范和处理应急预案，提高事故风险防范和污染控制能力。</w:t>
      </w:r>
    </w:p>
    <w:p w14:paraId="5B9667A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hAnsi="Calibri" w:cs="Times New Roman"/>
          <w:color w:val="auto"/>
          <w:kern w:val="2"/>
          <w:sz w:val="32"/>
          <w:szCs w:val="32"/>
          <w:lang w:val="en-US" w:eastAsia="zh-CN" w:bidi="ar-SA"/>
        </w:rPr>
      </w:pPr>
      <w:r>
        <w:rPr>
          <w:rFonts w:hint="eastAsia" w:hAnsi="Calibri" w:cs="Times New Roman"/>
          <w:color w:val="auto"/>
          <w:kern w:val="2"/>
          <w:sz w:val="32"/>
          <w:szCs w:val="32"/>
          <w:lang w:val="en-US" w:eastAsia="zh-CN" w:bidi="ar-SA"/>
        </w:rPr>
        <w:t>7</w:t>
      </w:r>
      <w:r>
        <w:rPr>
          <w:rFonts w:hint="eastAsia" w:ascii="仿宋_GB2312" w:hAnsi="Calibri" w:eastAsia="仿宋_GB2312" w:cs="Times New Roman"/>
          <w:color w:val="auto"/>
          <w:kern w:val="2"/>
          <w:sz w:val="32"/>
          <w:szCs w:val="32"/>
          <w:lang w:val="en-US" w:eastAsia="zh-CN" w:bidi="ar-SA"/>
        </w:rPr>
        <w:t>、落实地下水风险防范措施</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防止对地下水和土壤环境造成不利影响。</w:t>
      </w:r>
      <w:r>
        <w:rPr>
          <w:rFonts w:hint="eastAsia" w:hAnsi="Calibri" w:cs="Times New Roman"/>
          <w:color w:val="auto"/>
          <w:kern w:val="2"/>
          <w:sz w:val="32"/>
          <w:szCs w:val="32"/>
          <w:lang w:val="en-US" w:eastAsia="zh-CN" w:bidi="ar-SA"/>
        </w:rPr>
        <w:t>本项目全厂硬化，</w:t>
      </w:r>
      <w:r>
        <w:rPr>
          <w:rFonts w:hint="eastAsia" w:ascii="仿宋_GB2312" w:hAnsi="Calibri" w:eastAsia="仿宋_GB2312" w:cs="Times New Roman"/>
          <w:color w:val="auto"/>
          <w:kern w:val="2"/>
          <w:sz w:val="32"/>
          <w:szCs w:val="32"/>
          <w:lang w:val="en-US" w:eastAsia="zh-CN" w:bidi="ar-SA"/>
        </w:rPr>
        <w:t>污泥调节池按照重点防渗区防渗技术要求，等效粘土防渗层Mb≥6.0m，渗透系数K≤1×10</w:t>
      </w:r>
      <w:r>
        <w:rPr>
          <w:rFonts w:hint="eastAsia" w:ascii="仿宋_GB2312" w:hAnsi="Calibri" w:eastAsia="仿宋_GB2312" w:cs="Times New Roman"/>
          <w:color w:val="auto"/>
          <w:kern w:val="2"/>
          <w:sz w:val="32"/>
          <w:szCs w:val="32"/>
          <w:vertAlign w:val="superscript"/>
          <w:lang w:val="en-US" w:eastAsia="zh-CN" w:bidi="ar-SA"/>
        </w:rPr>
        <w:t>-7</w:t>
      </w:r>
      <w:r>
        <w:rPr>
          <w:rFonts w:hint="eastAsia" w:ascii="仿宋_GB2312" w:hAnsi="Calibri" w:eastAsia="仿宋_GB2312" w:cs="Times New Roman"/>
          <w:color w:val="auto"/>
          <w:kern w:val="2"/>
          <w:sz w:val="32"/>
          <w:szCs w:val="32"/>
          <w:lang w:val="en-US" w:eastAsia="zh-CN" w:bidi="ar-SA"/>
        </w:rPr>
        <w:t>cm/s</w:t>
      </w:r>
      <w:r>
        <w:rPr>
          <w:rFonts w:hint="eastAsia" w:hAnsi="Calibri" w:cs="Times New Roman"/>
          <w:color w:val="auto"/>
          <w:kern w:val="2"/>
          <w:sz w:val="32"/>
          <w:szCs w:val="32"/>
          <w:lang w:val="en-US" w:eastAsia="zh-CN" w:bidi="ar-SA"/>
        </w:rPr>
        <w:t>，其他池体按照一般防渗区建设</w:t>
      </w:r>
      <w:r>
        <w:rPr>
          <w:rFonts w:hint="eastAsia" w:ascii="仿宋_GB2312" w:hAnsi="Calibri" w:eastAsia="仿宋_GB2312" w:cs="Times New Roman"/>
          <w:color w:val="auto"/>
          <w:kern w:val="2"/>
          <w:sz w:val="32"/>
          <w:szCs w:val="32"/>
          <w:lang w:val="en-US" w:eastAsia="zh-CN" w:bidi="ar-SA"/>
        </w:rPr>
        <w:t>；危废贮存点地面底层铺设25cm厚的P6混凝土进行防渗，上层铺设2mm厚的高密度聚乙烯，渗透系数≤10</w:t>
      </w:r>
      <w:r>
        <w:rPr>
          <w:rFonts w:hint="eastAsia" w:ascii="仿宋_GB2312" w:hAnsi="Calibri" w:eastAsia="仿宋_GB2312" w:cs="Times New Roman"/>
          <w:color w:val="auto"/>
          <w:kern w:val="2"/>
          <w:sz w:val="32"/>
          <w:szCs w:val="32"/>
          <w:vertAlign w:val="superscript"/>
          <w:lang w:val="en-US" w:eastAsia="zh-CN" w:bidi="ar-SA"/>
        </w:rPr>
        <w:t>-10</w:t>
      </w:r>
      <w:r>
        <w:rPr>
          <w:rFonts w:hint="eastAsia" w:ascii="仿宋_GB2312" w:hAnsi="Calibri" w:eastAsia="仿宋_GB2312" w:cs="Times New Roman"/>
          <w:color w:val="auto"/>
          <w:kern w:val="2"/>
          <w:sz w:val="32"/>
          <w:szCs w:val="32"/>
          <w:lang w:val="en-US" w:eastAsia="zh-CN" w:bidi="ar-SA"/>
        </w:rPr>
        <w:t>cm/s</w:t>
      </w:r>
      <w:r>
        <w:rPr>
          <w:rFonts w:hint="eastAsia" w:hAnsi="Calibri" w:cs="Times New Roman"/>
          <w:color w:val="auto"/>
          <w:kern w:val="2"/>
          <w:sz w:val="32"/>
          <w:szCs w:val="32"/>
          <w:lang w:val="en-US" w:eastAsia="zh-CN" w:bidi="ar-SA"/>
        </w:rPr>
        <w:t>；化验室地面做防腐建设。</w:t>
      </w:r>
    </w:p>
    <w:p w14:paraId="224E907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hAnsi="Calibri" w:cs="Times New Roman"/>
          <w:color w:val="auto"/>
          <w:kern w:val="2"/>
          <w:sz w:val="32"/>
          <w:szCs w:val="32"/>
          <w:lang w:val="en-US" w:eastAsia="zh-CN" w:bidi="ar-SA"/>
        </w:rPr>
        <w:t>8、</w:t>
      </w:r>
      <w:r>
        <w:rPr>
          <w:rFonts w:hint="eastAsia" w:ascii="仿宋_GB2312" w:hAnsi="Calibri" w:eastAsia="仿宋_GB2312" w:cs="Times New Roman"/>
          <w:color w:val="auto"/>
          <w:kern w:val="2"/>
          <w:sz w:val="32"/>
          <w:szCs w:val="32"/>
          <w:lang w:val="en-US" w:eastAsia="zh-CN" w:bidi="ar-SA"/>
        </w:rPr>
        <w:t>落实</w:t>
      </w:r>
      <w:r>
        <w:rPr>
          <w:rFonts w:hint="eastAsia" w:hAnsi="Calibri" w:cs="Times New Roman"/>
          <w:color w:val="auto"/>
          <w:kern w:val="2"/>
          <w:sz w:val="32"/>
          <w:szCs w:val="32"/>
          <w:lang w:val="en-US" w:eastAsia="zh-CN" w:bidi="ar-SA"/>
        </w:rPr>
        <w:t>各项</w:t>
      </w:r>
      <w:r>
        <w:rPr>
          <w:rFonts w:hint="eastAsia" w:ascii="仿宋_GB2312" w:hAnsi="Calibri" w:eastAsia="仿宋_GB2312" w:cs="Times New Roman"/>
          <w:color w:val="auto"/>
          <w:kern w:val="2"/>
          <w:sz w:val="32"/>
          <w:szCs w:val="32"/>
          <w:lang w:val="en-US" w:eastAsia="zh-CN" w:bidi="ar-SA"/>
        </w:rPr>
        <w:t>监测计划</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 xml:space="preserve">             </w:t>
      </w:r>
    </w:p>
    <w:p w14:paraId="10E062D7">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三、项目建设单位应开展项目施工期环境监测和环境监理工作，并定期向当地环境部门提交工程环境监理报告，环境监测和监理报告作为项目竣工环境保护验收的依据之一。</w:t>
      </w:r>
    </w:p>
    <w:p w14:paraId="58D8892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2E4521B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五、有机衔接环境影响评价与排污许可证申领。按照《排污许 可管理办法》的要求，项目在启动生产设施或者在实际排污之前，申请并领取排污许可证，要将经批准的环境影响评价文件中各项环境保护措施、污染物排放清单及其他有关内容载入排污许可证，并按证排污。</w:t>
      </w:r>
    </w:p>
    <w:p w14:paraId="7F1D803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六、项目建设要严格执行配套建设的环境保护设施与主体工程同时设计、同时施工、同时投入使用的环境保护“三同时”制度。项目竣工后，建设单位按规定程序进行环保设施竣工验收。验收合格后，项目方可正式投入运行。</w:t>
      </w:r>
    </w:p>
    <w:p w14:paraId="38EF2996">
      <w:pPr>
        <w:keepNext w:val="0"/>
        <w:keepLines w:val="0"/>
        <w:pageBreakBefore w:val="0"/>
        <w:widowControl w:val="0"/>
        <w:kinsoku/>
        <w:wordWrap/>
        <w:overflowPunct/>
        <w:topLinePunct w:val="0"/>
        <w:autoSpaceDE w:val="0"/>
        <w:autoSpaceDN w:val="0"/>
        <w:bidi w:val="0"/>
        <w:adjustRightInd w:val="0"/>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Calibri" w:eastAsia="仿宋_GB2312" w:cs="Times New Roman"/>
          <w:color w:val="auto"/>
          <w:kern w:val="2"/>
          <w:sz w:val="32"/>
          <w:szCs w:val="32"/>
          <w:lang w:val="en-US" w:eastAsia="zh-CN" w:bidi="ar-SA"/>
        </w:rPr>
        <w:t>七、由吉林市生态环境保护综合行政执法支队龙潭大队负责按照《建设项目环境保护事中事后监督管理办法</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试行</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环发</w:t>
      </w:r>
      <w:r>
        <w:rPr>
          <w:rFonts w:hint="eastAsia" w:hAnsi="Calibri" w:cs="Times New Roman"/>
          <w:color w:val="auto"/>
          <w:kern w:val="2"/>
          <w:sz w:val="32"/>
          <w:szCs w:val="32"/>
          <w:lang w:val="en-US" w:eastAsia="zh-CN" w:bidi="ar-SA"/>
        </w:rPr>
        <w:t>〔2015〕</w:t>
      </w:r>
      <w:r>
        <w:rPr>
          <w:rFonts w:hint="eastAsia" w:ascii="仿宋_GB2312" w:hAnsi="Calibri" w:eastAsia="仿宋_GB2312" w:cs="Times New Roman"/>
          <w:color w:val="auto"/>
          <w:kern w:val="2"/>
          <w:sz w:val="32"/>
          <w:szCs w:val="32"/>
          <w:lang w:val="en-US" w:eastAsia="zh-CN" w:bidi="ar-SA"/>
        </w:rPr>
        <w:t>163号</w:t>
      </w:r>
      <w:r>
        <w:rPr>
          <w:rFonts w:hint="eastAsia" w:hAnsi="Calibri"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的规定，进行本建设项目事中事后的环境监督管理工作。</w:t>
      </w:r>
    </w:p>
    <w:p w14:paraId="3A7387DF">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6FBDE8E1">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6D8A261F">
      <w:pPr>
        <w:keepNext w:val="0"/>
        <w:keepLines w:val="0"/>
        <w:pageBreakBefore w:val="0"/>
        <w:widowControl w:val="0"/>
        <w:kinsoku/>
        <w:wordWrap/>
        <w:overflowPunct/>
        <w:topLinePunct w:val="0"/>
        <w:autoSpaceDE w:val="0"/>
        <w:autoSpaceDN w:val="0"/>
        <w:bidi w:val="0"/>
        <w:adjustRightInd w:val="0"/>
        <w:snapToGrid/>
        <w:spacing w:line="5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57324002">
      <w:pPr>
        <w:keepNext w:val="0"/>
        <w:keepLines w:val="0"/>
        <w:pageBreakBefore w:val="0"/>
        <w:widowControl w:val="0"/>
        <w:kinsoku/>
        <w:wordWrap/>
        <w:overflowPunct/>
        <w:topLinePunct w:val="0"/>
        <w:autoSpaceDE w:val="0"/>
        <w:autoSpaceDN w:val="0"/>
        <w:bidi w:val="0"/>
        <w:adjustRightInd w:val="0"/>
        <w:snapToGrid/>
        <w:spacing w:line="52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2月5</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5"/>
        <w:tblpPr w:vertAnchor="page" w:horzAnchor="page" w:tblpX="1522" w:tblpY="14122"/>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521330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67FF3328">
            <w:pPr>
              <w:keepNext w:val="0"/>
              <w:keepLines w:val="0"/>
              <w:pageBreakBefore w:val="0"/>
              <w:kinsoku/>
              <w:wordWrap/>
              <w:overflowPunct/>
              <w:topLinePunct w:val="0"/>
              <w:bidi w:val="0"/>
              <w:snapToGrid/>
              <w:spacing w:line="520" w:lineRule="exact"/>
              <w:ind w:left="1160" w:leftChars="100" w:hanging="840" w:hangingChars="3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抄送：吉林市生态环境保护综合行政执法支队龙潭大队</w:t>
            </w:r>
          </w:p>
        </w:tc>
      </w:tr>
      <w:tr w14:paraId="655BF4D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4A4BEC3B">
            <w:pPr>
              <w:keepNext w:val="0"/>
              <w:keepLines w:val="0"/>
              <w:pageBreakBefore w:val="0"/>
              <w:kinsoku/>
              <w:wordWrap/>
              <w:overflowPunct/>
              <w:topLinePunct w:val="0"/>
              <w:bidi w:val="0"/>
              <w:snapToGrid/>
              <w:spacing w:line="520" w:lineRule="exact"/>
              <w:ind w:left="0" w:leftChars="0" w:firstLine="280" w:firstLineChars="1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吉林市生态环境局</w:t>
            </w: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6F808F12">
            <w:pPr>
              <w:keepNext w:val="0"/>
              <w:keepLines w:val="0"/>
              <w:pageBreakBefore w:val="0"/>
              <w:kinsoku/>
              <w:wordWrap/>
              <w:overflowPunct/>
              <w:topLinePunct w:val="0"/>
              <w:bidi w:val="0"/>
              <w:snapToGrid/>
              <w:spacing w:line="520" w:lineRule="exact"/>
              <w:ind w:right="320" w:rightChars="1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w:t>
            </w:r>
            <w:r>
              <w:rPr>
                <w:rFonts w:hint="eastAsia" w:cs="仿宋_GB2312"/>
                <w:sz w:val="28"/>
                <w:szCs w:val="28"/>
                <w:lang w:val="en-US" w:eastAsia="zh-CN"/>
              </w:rPr>
              <w:t>5</w:t>
            </w:r>
            <w:r>
              <w:rPr>
                <w:rFonts w:hint="eastAsia" w:ascii="仿宋_GB2312" w:hAnsi="仿宋_GB2312" w:eastAsia="仿宋_GB2312" w:cs="仿宋_GB2312"/>
                <w:sz w:val="28"/>
                <w:szCs w:val="28"/>
              </w:rPr>
              <w:t>年</w:t>
            </w:r>
            <w:r>
              <w:rPr>
                <w:rFonts w:hint="eastAsia" w:cs="仿宋_GB2312"/>
                <w:sz w:val="28"/>
                <w:szCs w:val="28"/>
                <w:lang w:val="en-US" w:eastAsia="zh-CN"/>
              </w:rPr>
              <w:t>2</w:t>
            </w:r>
            <w:r>
              <w:rPr>
                <w:rFonts w:hint="eastAsia" w:ascii="仿宋_GB2312" w:hAnsi="仿宋_GB2312" w:eastAsia="仿宋_GB2312" w:cs="仿宋_GB2312"/>
                <w:sz w:val="28"/>
                <w:szCs w:val="28"/>
              </w:rPr>
              <w:t>月</w:t>
            </w:r>
            <w:r>
              <w:rPr>
                <w:rFonts w:hint="eastAsia" w:cs="仿宋_GB2312"/>
                <w:sz w:val="28"/>
                <w:szCs w:val="28"/>
                <w:lang w:val="en-US" w:eastAsia="zh-CN"/>
              </w:rPr>
              <w:t>5</w:t>
            </w:r>
            <w:r>
              <w:rPr>
                <w:rFonts w:hint="eastAsia" w:ascii="仿宋_GB2312" w:hAnsi="仿宋_GB2312" w:eastAsia="仿宋_GB2312" w:cs="仿宋_GB2312"/>
                <w:sz w:val="28"/>
                <w:szCs w:val="28"/>
              </w:rPr>
              <w:t>日印发</w:t>
            </w:r>
          </w:p>
        </w:tc>
      </w:tr>
    </w:tbl>
    <w:p w14:paraId="24C0BB21">
      <w:pPr>
        <w:keepNext w:val="0"/>
        <w:keepLines w:val="0"/>
        <w:pageBreakBefore w:val="0"/>
        <w:widowControl w:val="0"/>
        <w:tabs>
          <w:tab w:val="left" w:pos="540"/>
        </w:tabs>
        <w:kinsoku/>
        <w:wordWrap/>
        <w:overflowPunct/>
        <w:topLinePunct w:val="0"/>
        <w:autoSpaceDE/>
        <w:autoSpaceDN/>
        <w:bidi w:val="0"/>
        <w:adjustRightInd/>
        <w:snapToGrid/>
        <w:spacing w:line="520" w:lineRule="exact"/>
        <w:ind w:left="0" w:leftChars="0" w:firstLine="0" w:firstLineChars="0"/>
        <w:textAlignment w:val="auto"/>
        <w:rPr>
          <w:rFonts w:hint="eastAsia"/>
          <w:lang w:val="en-US" w:eastAsia="zh-CN"/>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489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8744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08744E">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31924"/>
    <w:multiLevelType w:val="singleLevel"/>
    <w:tmpl w:val="01F31924"/>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73E381FC"/>
    <w:multiLevelType w:val="multilevel"/>
    <w:tmpl w:val="73E381FC"/>
    <w:lvl w:ilvl="0" w:tentative="0">
      <w:start w:val="1"/>
      <w:numFmt w:val="chineseCounting"/>
      <w:pStyle w:val="2"/>
      <w:suff w:val="nothing"/>
      <w:lvlText w:val="%1、"/>
      <w:lvlJc w:val="left"/>
      <w:pPr>
        <w:tabs>
          <w:tab w:val="left" w:pos="993"/>
        </w:tabs>
        <w:ind w:left="993" w:firstLine="0"/>
      </w:pPr>
      <w:rPr>
        <w:rFonts w:hint="eastAsia"/>
      </w:rPr>
    </w:lvl>
    <w:lvl w:ilvl="1" w:tentative="0">
      <w:start w:val="1"/>
      <w:numFmt w:val="chineseCounting"/>
      <w:pStyle w:val="3"/>
      <w:suff w:val="nothing"/>
      <w:lvlText w:val="（%2）"/>
      <w:lvlJc w:val="left"/>
      <w:pPr>
        <w:ind w:left="993" w:firstLine="0"/>
      </w:pPr>
      <w:rPr>
        <w:rFonts w:hint="eastAsia" w:ascii="仿宋" w:hAnsi="仿宋" w:eastAsia="仿宋" w:cs="宋体"/>
      </w:rPr>
    </w:lvl>
    <w:lvl w:ilvl="2" w:tentative="0">
      <w:start w:val="1"/>
      <w:numFmt w:val="decimal"/>
      <w:pStyle w:val="4"/>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TIyMzMxMGUyZGRiNjRkMDExZjZjMjcxNWM0YmQifQ=="/>
  </w:docVars>
  <w:rsids>
    <w:rsidRoot w:val="535011CF"/>
    <w:rsid w:val="00AD4390"/>
    <w:rsid w:val="01215C29"/>
    <w:rsid w:val="04624D62"/>
    <w:rsid w:val="07264286"/>
    <w:rsid w:val="07542310"/>
    <w:rsid w:val="08EA2658"/>
    <w:rsid w:val="0A094D1A"/>
    <w:rsid w:val="0C7236B3"/>
    <w:rsid w:val="0D727300"/>
    <w:rsid w:val="0D832131"/>
    <w:rsid w:val="0E102B78"/>
    <w:rsid w:val="0E8A6C65"/>
    <w:rsid w:val="0F062414"/>
    <w:rsid w:val="0F914A2F"/>
    <w:rsid w:val="0FE15608"/>
    <w:rsid w:val="10E13814"/>
    <w:rsid w:val="116E69B0"/>
    <w:rsid w:val="121B3756"/>
    <w:rsid w:val="12270675"/>
    <w:rsid w:val="14311A36"/>
    <w:rsid w:val="15D37529"/>
    <w:rsid w:val="160B1746"/>
    <w:rsid w:val="1786728C"/>
    <w:rsid w:val="18381EC3"/>
    <w:rsid w:val="18527E28"/>
    <w:rsid w:val="192B1EC9"/>
    <w:rsid w:val="19D8137C"/>
    <w:rsid w:val="1A50276F"/>
    <w:rsid w:val="1A9A1170"/>
    <w:rsid w:val="1AF23E6D"/>
    <w:rsid w:val="1B1F3CE5"/>
    <w:rsid w:val="1F196F14"/>
    <w:rsid w:val="1F560908"/>
    <w:rsid w:val="212634E8"/>
    <w:rsid w:val="213D3C4D"/>
    <w:rsid w:val="2155673D"/>
    <w:rsid w:val="217B49B5"/>
    <w:rsid w:val="25334FFC"/>
    <w:rsid w:val="259B50B3"/>
    <w:rsid w:val="26E60F2F"/>
    <w:rsid w:val="2777171F"/>
    <w:rsid w:val="28374BF9"/>
    <w:rsid w:val="283F0D7D"/>
    <w:rsid w:val="29F17A79"/>
    <w:rsid w:val="2A2F54BD"/>
    <w:rsid w:val="2B3506AA"/>
    <w:rsid w:val="2BEF7F49"/>
    <w:rsid w:val="2CEA411D"/>
    <w:rsid w:val="2E8A5DA3"/>
    <w:rsid w:val="2EE94141"/>
    <w:rsid w:val="310F3168"/>
    <w:rsid w:val="355A7EE2"/>
    <w:rsid w:val="355D1A20"/>
    <w:rsid w:val="365B179F"/>
    <w:rsid w:val="380541CD"/>
    <w:rsid w:val="38A731BC"/>
    <w:rsid w:val="38AB0E58"/>
    <w:rsid w:val="3971572F"/>
    <w:rsid w:val="3A3B0531"/>
    <w:rsid w:val="3A4A0CD0"/>
    <w:rsid w:val="3AF143FE"/>
    <w:rsid w:val="3B164258"/>
    <w:rsid w:val="3D8E4D06"/>
    <w:rsid w:val="3EC15C04"/>
    <w:rsid w:val="414A3F69"/>
    <w:rsid w:val="42334BE9"/>
    <w:rsid w:val="449D26B3"/>
    <w:rsid w:val="44B65B7C"/>
    <w:rsid w:val="46BA581C"/>
    <w:rsid w:val="47107A2C"/>
    <w:rsid w:val="47B02837"/>
    <w:rsid w:val="49881965"/>
    <w:rsid w:val="4A797DE0"/>
    <w:rsid w:val="4A9C14F9"/>
    <w:rsid w:val="4B701D22"/>
    <w:rsid w:val="52B37DBE"/>
    <w:rsid w:val="531C0998"/>
    <w:rsid w:val="535011CF"/>
    <w:rsid w:val="54880B18"/>
    <w:rsid w:val="551D59AF"/>
    <w:rsid w:val="55641C22"/>
    <w:rsid w:val="56EE7B37"/>
    <w:rsid w:val="57576CA1"/>
    <w:rsid w:val="57582925"/>
    <w:rsid w:val="60AA1F26"/>
    <w:rsid w:val="61033D11"/>
    <w:rsid w:val="61B7275D"/>
    <w:rsid w:val="621A0BB0"/>
    <w:rsid w:val="62341F48"/>
    <w:rsid w:val="63A11840"/>
    <w:rsid w:val="6533346C"/>
    <w:rsid w:val="66095259"/>
    <w:rsid w:val="664418CB"/>
    <w:rsid w:val="665E412B"/>
    <w:rsid w:val="66754F32"/>
    <w:rsid w:val="685B4774"/>
    <w:rsid w:val="6A524E2D"/>
    <w:rsid w:val="6B5B0D2F"/>
    <w:rsid w:val="6C3B026B"/>
    <w:rsid w:val="6EFB604C"/>
    <w:rsid w:val="6F2B728F"/>
    <w:rsid w:val="70886160"/>
    <w:rsid w:val="7113730F"/>
    <w:rsid w:val="71E3174B"/>
    <w:rsid w:val="73AC37BE"/>
    <w:rsid w:val="73F12BC9"/>
    <w:rsid w:val="74501128"/>
    <w:rsid w:val="74783E10"/>
    <w:rsid w:val="74BA710A"/>
    <w:rsid w:val="77C6382D"/>
    <w:rsid w:val="77E77D4F"/>
    <w:rsid w:val="7C1B42AF"/>
    <w:rsid w:val="7C9F0813"/>
    <w:rsid w:val="7D1363DA"/>
    <w:rsid w:val="7E005D47"/>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2">
    <w:name w:val="heading 1"/>
    <w:basedOn w:val="1"/>
    <w:next w:val="1"/>
    <w:link w:val="19"/>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3">
    <w:name w:val="heading 2"/>
    <w:basedOn w:val="1"/>
    <w:next w:val="1"/>
    <w:link w:val="18"/>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0"/>
    <w:pPr>
      <w:jc w:val="left"/>
    </w:pPr>
    <w:rPr>
      <w:kern w:val="0"/>
      <w:sz w:val="24"/>
      <w:szCs w:val="20"/>
    </w:rPr>
  </w:style>
  <w:style w:type="paragraph" w:styleId="6">
    <w:name w:val="Body Text"/>
    <w:basedOn w:val="1"/>
    <w:next w:val="7"/>
    <w:autoRedefine/>
    <w:qFormat/>
    <w:uiPriority w:val="0"/>
    <w:rPr>
      <w:sz w:val="28"/>
    </w:rPr>
  </w:style>
  <w:style w:type="paragraph" w:styleId="7">
    <w:name w:val="List Bullet 5"/>
    <w:basedOn w:val="1"/>
    <w:autoRedefine/>
    <w:qFormat/>
    <w:uiPriority w:val="0"/>
    <w:pPr>
      <w:numPr>
        <w:ilvl w:val="0"/>
        <w:numId w:val="2"/>
      </w:numPr>
    </w:pPr>
  </w:style>
  <w:style w:type="paragraph" w:styleId="8">
    <w:name w:val="Date"/>
    <w:basedOn w:val="1"/>
    <w:next w:val="1"/>
    <w:autoRedefine/>
    <w:qFormat/>
    <w:uiPriority w:val="0"/>
    <w:pPr>
      <w:ind w:leftChars="2500"/>
    </w:pPr>
    <w:rPr>
      <w:rFonts w:eastAsia="仿宋_GB2312"/>
      <w:sz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footnote text"/>
    <w:basedOn w:val="1"/>
    <w:autoRedefine/>
    <w:qFormat/>
    <w:uiPriority w:val="0"/>
    <w:pPr>
      <w:snapToGrid w:val="0"/>
      <w:jc w:val="left"/>
    </w:pPr>
    <w:rPr>
      <w:sz w:val="18"/>
    </w:rPr>
  </w:style>
  <w:style w:type="paragraph" w:styleId="13">
    <w:name w:val="toc 2"/>
    <w:basedOn w:val="1"/>
    <w:next w:val="1"/>
    <w:autoRedefine/>
    <w:qFormat/>
    <w:uiPriority w:val="0"/>
    <w:pPr>
      <w:ind w:left="420" w:leftChars="200"/>
    </w:pPr>
  </w:style>
  <w:style w:type="table" w:styleId="15">
    <w:name w:val="Table Grid"/>
    <w:basedOn w:val="14"/>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7">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character" w:customStyle="1" w:styleId="18">
    <w:name w:val="标题 2 Char"/>
    <w:link w:val="3"/>
    <w:autoRedefine/>
    <w:qFormat/>
    <w:locked/>
    <w:uiPriority w:val="99"/>
    <w:rPr>
      <w:rFonts w:ascii="Arial" w:hAnsi="Arial" w:eastAsia="宋体" w:cs="Times New Roman"/>
      <w:b/>
      <w:bCs/>
      <w:sz w:val="28"/>
      <w:szCs w:val="32"/>
    </w:rPr>
  </w:style>
  <w:style w:type="character" w:customStyle="1" w:styleId="19">
    <w:name w:val="标题 1 Char"/>
    <w:link w:val="2"/>
    <w:autoRedefine/>
    <w:qFormat/>
    <w:locked/>
    <w:uiPriority w:val="99"/>
    <w:rPr>
      <w:rFonts w:ascii="Calibri" w:hAnsi="Calibri" w:eastAsia="宋体"/>
      <w:b/>
      <w:kern w:val="44"/>
      <w:sz w:val="44"/>
      <w:szCs w:val="24"/>
      <w:lang w:bidi="ar-SA"/>
    </w:rPr>
  </w:style>
  <w:style w:type="paragraph" w:customStyle="1" w:styleId="20">
    <w:name w:val="Default"/>
    <w:basedOn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21">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2">
    <w:name w:val="正文文本1"/>
    <w:basedOn w:val="1"/>
    <w:autoRedefine/>
    <w:qFormat/>
    <w:uiPriority w:val="0"/>
    <w:pPr>
      <w:spacing w:line="500" w:lineRule="exact"/>
    </w:pPr>
    <w:rPr>
      <w:rFonts w:ascii="宋体" w:hAnsi="宋体"/>
      <w:sz w:val="28"/>
    </w:rPr>
  </w:style>
  <w:style w:type="paragraph" w:customStyle="1" w:styleId="23">
    <w:name w:val="Table Paragraph"/>
    <w:basedOn w:val="1"/>
    <w:autoRedefine/>
    <w:qFormat/>
    <w:uiPriority w:val="1"/>
    <w:pPr>
      <w:widowControl/>
      <w:jc w:val="left"/>
    </w:pPr>
    <w:rPr>
      <w:rFonts w:ascii="Calibri" w:hAnsi="Calibri" w:cs="宋体"/>
      <w:kern w:val="0"/>
      <w:sz w:val="22"/>
      <w:szCs w:val="22"/>
    </w:rPr>
  </w:style>
  <w:style w:type="character" w:customStyle="1" w:styleId="24">
    <w:name w:val="NormalCharacter"/>
    <w:semiHidden/>
    <w:qFormat/>
    <w:uiPriority w:val="0"/>
    <w:rPr>
      <w:rFonts w:ascii="Calibri" w:hAnsi="Calibr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694</Words>
  <Characters>743</Characters>
  <Lines>0</Lines>
  <Paragraphs>0</Paragraphs>
  <TotalTime>4</TotalTime>
  <ScaleCrop>false</ScaleCrop>
  <LinksUpToDate>false</LinksUpToDate>
  <CharactersWithSpaces>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2025-01-13T00:15:00Z</cp:lastPrinted>
  <dcterms:modified xsi:type="dcterms:W3CDTF">2025-02-04T04:41:56Z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378CF2AFB537404FBCDCFFEF2DE2B651_13</vt:lpwstr>
  </property>
  <property fmtid="{D5CDD505-2E9C-101B-9397-08002B2CF9AE}" pid="4" name="KSOTemplateDocerSaveRecord">
    <vt:lpwstr>eyJoZGlkIjoiMDc5MzViOWI5ODMxNmU1MjFmZjY5NjVlZTE5M2Q2YjUiLCJ1c2VySWQiOiIzNDEzNjc4NTYifQ==</vt:lpwstr>
  </property>
</Properties>
</file>